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79EB9">
      <w:pPr>
        <w:spacing w:line="520" w:lineRule="exact"/>
        <w:rPr>
          <w:rFonts w:hint="eastAsia" w:ascii="华文中宋" w:hAnsi="华文中宋" w:eastAsia="华文中宋"/>
          <w:b/>
          <w:bCs/>
          <w:sz w:val="36"/>
          <w:szCs w:val="40"/>
        </w:rPr>
      </w:pPr>
      <w:r>
        <w:rPr>
          <w:rFonts w:hint="eastAsia" w:ascii="华文中宋" w:hAnsi="华文中宋" w:eastAsia="华文中宋"/>
          <w:b/>
          <w:bCs/>
          <w:sz w:val="36"/>
          <w:szCs w:val="40"/>
        </w:rPr>
        <w:t>附件：</w:t>
      </w:r>
      <w:bookmarkStart w:id="0" w:name="_GoBack"/>
      <w:r>
        <w:rPr>
          <w:rFonts w:hint="eastAsia" w:ascii="华文中宋" w:hAnsi="华文中宋" w:eastAsia="华文中宋"/>
          <w:b/>
          <w:bCs/>
          <w:sz w:val="36"/>
          <w:szCs w:val="40"/>
        </w:rPr>
        <w:t>《福清市建筑垃圾资源化处理厂和炉渣综合利用处理厂地块详细规划》的主要内容及规划图纸</w:t>
      </w:r>
      <w:bookmarkEnd w:id="0"/>
    </w:p>
    <w:p w14:paraId="0680F9F3">
      <w:pPr>
        <w:rPr>
          <w:rFonts w:ascii="仿宋_GB2312" w:eastAsia="仿宋_GB2312"/>
          <w:b/>
          <w:sz w:val="32"/>
          <w:szCs w:val="32"/>
        </w:rPr>
      </w:pPr>
    </w:p>
    <w:p w14:paraId="1D01917B">
      <w:pPr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一、主要内容</w:t>
      </w:r>
    </w:p>
    <w:p w14:paraId="6036E9FB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1、规划范围</w:t>
      </w:r>
    </w:p>
    <w:p w14:paraId="35BB3B4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地块位于福清市龙江街道苍霞村西侧，北接福清市稳定化飞灰填埋场、福清市大件（园林）垃圾处理厂、福清市生活垃圾焚烧发电厂，东邻福清市餐厨（厨余）垃圾处理厂，南侧、西侧为山林地。规划总用地面积8.19公顷。</w:t>
      </w:r>
    </w:p>
    <w:p w14:paraId="6ADD8DEC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、地块使用性质</w:t>
      </w:r>
    </w:p>
    <w:p w14:paraId="509A77F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用地性质分类和代码均采用《国土空间调查、规划、用途管制用地用海分类指南》，规划地块350181-06-E-01用地性质为环卫用地（1309），规划面积5.27公顷，350181-06-E-02用地性质为环卫用地（1309），规划面积2.92公顷。</w:t>
      </w:r>
    </w:p>
    <w:p w14:paraId="50FA1C6C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、地块控制指标</w:t>
      </w:r>
    </w:p>
    <w:tbl>
      <w:tblPr>
        <w:tblStyle w:val="3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4"/>
        <w:gridCol w:w="850"/>
        <w:gridCol w:w="1273"/>
        <w:gridCol w:w="993"/>
        <w:gridCol w:w="1134"/>
        <w:gridCol w:w="992"/>
        <w:gridCol w:w="850"/>
        <w:gridCol w:w="993"/>
      </w:tblGrid>
      <w:tr w14:paraId="61B20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4" w:type="dxa"/>
            <w:shd w:val="clear" w:color="auto" w:fill="auto"/>
            <w:noWrap/>
            <w:vAlign w:val="center"/>
          </w:tcPr>
          <w:p w14:paraId="26212A36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地块编号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15D1E53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用地代码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4C6145A5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用地性质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AB9AF92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用地面积(m</w:t>
            </w:r>
            <w:r>
              <w:rPr>
                <w:rFonts w:ascii="Calibri" w:hAnsi="Calibri" w:eastAsia="仿宋_GB2312" w:cs="Calibri"/>
                <w:b/>
                <w:bCs/>
                <w:sz w:val="24"/>
              </w:rPr>
              <w:t>²</w:t>
            </w: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0914BB4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容积率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122628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建筑密度(%)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04ED0B4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绿地率(%)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AA9731D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建筑限高(m)</w:t>
            </w:r>
          </w:p>
        </w:tc>
      </w:tr>
      <w:tr w14:paraId="53DE9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4" w:type="dxa"/>
            <w:shd w:val="clear" w:color="auto" w:fill="auto"/>
            <w:noWrap/>
            <w:vAlign w:val="center"/>
          </w:tcPr>
          <w:p w14:paraId="056AB606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ascii="仿宋_GB2312" w:hAnsi="仿宋" w:eastAsia="仿宋_GB2312"/>
                <w:sz w:val="24"/>
              </w:rPr>
              <w:t>350181-06-E-01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9D5AEBD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1</w:t>
            </w:r>
            <w:r>
              <w:rPr>
                <w:rFonts w:ascii="仿宋_GB2312" w:hAnsi="仿宋" w:eastAsia="仿宋_GB2312"/>
                <w:sz w:val="24"/>
              </w:rPr>
              <w:t>309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459D6918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环卫用地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2D58ECB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5</w:t>
            </w:r>
            <w:r>
              <w:rPr>
                <w:rFonts w:ascii="仿宋_GB2312" w:hAnsi="仿宋" w:eastAsia="仿宋_GB2312"/>
                <w:sz w:val="24"/>
              </w:rPr>
              <w:t>2672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5D3C9C1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0</w:t>
            </w:r>
            <w:r>
              <w:rPr>
                <w:rFonts w:ascii="仿宋_GB2312" w:hAnsi="仿宋" w:eastAsia="仿宋_GB2312"/>
                <w:sz w:val="24"/>
              </w:rPr>
              <w:t>.2-1.0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8EFB9F1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1</w:t>
            </w:r>
            <w:r>
              <w:rPr>
                <w:rFonts w:ascii="仿宋_GB2312" w:hAnsi="仿宋" w:eastAsia="仿宋_GB2312"/>
                <w:sz w:val="24"/>
              </w:rPr>
              <w:t>5-42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FBD41AC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≥</w:t>
            </w:r>
            <w:r>
              <w:rPr>
                <w:rFonts w:ascii="仿宋_GB2312" w:hAnsi="仿宋" w:eastAsia="仿宋_GB2312"/>
                <w:sz w:val="24"/>
              </w:rPr>
              <w:t>1</w:t>
            </w:r>
            <w:r>
              <w:rPr>
                <w:rFonts w:hint="eastAsia" w:ascii="仿宋_GB2312" w:hAnsi="仿宋" w:eastAsia="仿宋_GB2312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A8D2559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ascii="仿宋_GB2312" w:hAnsi="仿宋" w:eastAsia="仿宋_GB2312"/>
                <w:sz w:val="24"/>
              </w:rPr>
              <w:t>50</w:t>
            </w:r>
          </w:p>
        </w:tc>
      </w:tr>
      <w:tr w14:paraId="2FDFF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4" w:type="dxa"/>
            <w:shd w:val="clear" w:color="auto" w:fill="auto"/>
            <w:noWrap/>
            <w:vAlign w:val="center"/>
          </w:tcPr>
          <w:p w14:paraId="1CE89D08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ascii="仿宋_GB2312" w:hAnsi="仿宋" w:eastAsia="仿宋_GB2312"/>
                <w:sz w:val="24"/>
              </w:rPr>
              <w:t>350181-06-E-02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2DD0557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1</w:t>
            </w:r>
            <w:r>
              <w:rPr>
                <w:rFonts w:ascii="仿宋_GB2312" w:hAnsi="仿宋" w:eastAsia="仿宋_GB2312"/>
                <w:sz w:val="24"/>
              </w:rPr>
              <w:t>309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14228E62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环卫用地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CBD0CC9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ascii="仿宋_GB2312" w:hAnsi="仿宋" w:eastAsia="仿宋_GB2312"/>
                <w:sz w:val="24"/>
              </w:rPr>
              <w:t>29222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A043ED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0</w:t>
            </w:r>
            <w:r>
              <w:rPr>
                <w:rFonts w:ascii="仿宋_GB2312" w:hAnsi="仿宋" w:eastAsia="仿宋_GB2312"/>
                <w:sz w:val="24"/>
              </w:rPr>
              <w:t>.2-1.0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5AAAD2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1</w:t>
            </w:r>
            <w:r>
              <w:rPr>
                <w:rFonts w:ascii="仿宋_GB2312" w:hAnsi="仿宋" w:eastAsia="仿宋_GB2312"/>
                <w:sz w:val="24"/>
              </w:rPr>
              <w:t>5-45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7581E51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≥</w:t>
            </w:r>
            <w:r>
              <w:rPr>
                <w:rFonts w:ascii="仿宋_GB2312" w:hAnsi="仿宋" w:eastAsia="仿宋_GB2312"/>
                <w:sz w:val="24"/>
              </w:rPr>
              <w:t>1</w:t>
            </w:r>
            <w:r>
              <w:rPr>
                <w:rFonts w:hint="eastAsia" w:ascii="仿宋_GB2312" w:hAnsi="仿宋" w:eastAsia="仿宋_GB2312"/>
                <w:sz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A8FF612">
            <w:pPr>
              <w:pStyle w:val="6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ascii="仿宋_GB2312" w:hAnsi="仿宋" w:eastAsia="仿宋_GB2312"/>
                <w:sz w:val="24"/>
              </w:rPr>
              <w:t>50</w:t>
            </w:r>
          </w:p>
        </w:tc>
      </w:tr>
    </w:tbl>
    <w:p w14:paraId="3E5D03D2">
      <w:pPr>
        <w:spacing w:before="156" w:beforeLines="50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4、道路交通规划</w:t>
      </w:r>
    </w:p>
    <w:p w14:paraId="11686ED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规划对外交通主要依托地块北侧为城市支路的状元埔路，地块内停车设施配建标准按《福建省城市规划管理技术规定》执行。</w:t>
      </w:r>
    </w:p>
    <w:p w14:paraId="6E705ED4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5、城市设计引导</w:t>
      </w:r>
    </w:p>
    <w:p w14:paraId="67F2E47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地块建设践行“生态隐形设施”理念。建筑布局集约高效，通过地形绿化掩映弱化体量，严控建筑高度与轮廓，强化本土植被修复，构建防护绿带，运用立体绿化遮阳软化界面，实现与城市环境共生。优先采用耐候低维护材料，整合光伏雨水回收设施，使功能建筑转化为生态景观要素。建议主色调选用灰绿色、浅陶土色，辅以深灰米白中性色，营造沉稳洁净、协调隐逸的视觉环境，作业区可局部点饰警示橙（占比＜10%）。</w:t>
      </w:r>
    </w:p>
    <w:p w14:paraId="6C33E0BA">
      <w:pPr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二、规划图纸</w:t>
      </w:r>
    </w:p>
    <w:p w14:paraId="1D41398E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1、土地利用规划图</w:t>
      </w:r>
    </w:p>
    <w:p w14:paraId="6A49CB55"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268595" cy="3725545"/>
            <wp:effectExtent l="0" t="0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02" cy="37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7869"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 w14:paraId="28BA29A4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2、道路交通规划图</w:t>
      </w:r>
    </w:p>
    <w:p w14:paraId="08DC35B9"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268595" cy="3725545"/>
            <wp:effectExtent l="0" t="0" r="825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02" cy="37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B614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3、地块图则</w:t>
      </w:r>
    </w:p>
    <w:p w14:paraId="0D26D5C4"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5253990" cy="3715385"/>
            <wp:effectExtent l="0" t="0" r="381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416" cy="371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3FFCE"/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86A1F">
    <w:pPr>
      <w:pStyle w:val="2"/>
      <w:framePr w:w="1099" w:wrap="around" w:vAnchor="text" w:hAnchor="page" w:x="8998" w:y="-2"/>
      <w:jc w:val="both"/>
      <w:rPr>
        <w:rStyle w:val="5"/>
        <w:rFonts w:hint="eastAsia" w:ascii="宋体" w:hAnsi="宋体"/>
        <w:sz w:val="28"/>
        <w:szCs w:val="28"/>
      </w:rPr>
    </w:pPr>
    <w:r>
      <w:rPr>
        <w:rStyle w:val="5"/>
        <w:rFonts w:hint="eastAsia" w:ascii="宋体" w:hAnsi="宋体"/>
        <w:sz w:val="28"/>
        <w:szCs w:val="28"/>
      </w:rPr>
      <w:fldChar w:fldCharType="begin"/>
    </w:r>
    <w:r>
      <w:rPr>
        <w:rStyle w:val="5"/>
        <w:rFonts w:hint="eastAsia" w:ascii="宋体" w:hAnsi="宋体"/>
        <w:sz w:val="28"/>
        <w:szCs w:val="28"/>
      </w:rPr>
      <w:instrText xml:space="preserve">PAGE  </w:instrText>
    </w:r>
    <w:r>
      <w:rPr>
        <w:rStyle w:val="5"/>
        <w:rFonts w:hint="eastAsia" w:ascii="宋体" w:hAnsi="宋体"/>
        <w:sz w:val="28"/>
        <w:szCs w:val="28"/>
      </w:rPr>
      <w:fldChar w:fldCharType="separate"/>
    </w:r>
    <w:r>
      <w:rPr>
        <w:rStyle w:val="5"/>
        <w:rFonts w:ascii="宋体" w:hAnsi="宋体"/>
        <w:sz w:val="28"/>
        <w:szCs w:val="28"/>
      </w:rPr>
      <w:t>- 5 -</w:t>
    </w:r>
    <w:r>
      <w:rPr>
        <w:rStyle w:val="5"/>
        <w:rFonts w:hint="eastAsia" w:ascii="宋体" w:hAnsi="宋体"/>
        <w:sz w:val="28"/>
        <w:szCs w:val="28"/>
      </w:rPr>
      <w:fldChar w:fldCharType="end"/>
    </w:r>
    <w:r>
      <w:rPr>
        <w:rStyle w:val="5"/>
        <w:rFonts w:hint="eastAsia" w:ascii="宋体" w:hAnsi="宋体"/>
        <w:sz w:val="28"/>
        <w:szCs w:val="28"/>
      </w:rPr>
      <w:t xml:space="preserve">       </w:t>
    </w:r>
  </w:p>
  <w:p w14:paraId="159BF56A">
    <w:pPr>
      <w:pStyle w:val="2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B30CE">
    <w:pPr>
      <w:pStyle w:val="2"/>
      <w:framePr w:wrap="around" w:vAnchor="text" w:hAnchor="margin" w:xAlign="outside" w:y="1"/>
      <w:ind w:firstLine="280"/>
      <w:rPr>
        <w:rStyle w:val="5"/>
        <w:rFonts w:hint="eastAsia" w:ascii="宋体" w:hAnsi="宋体"/>
        <w:sz w:val="28"/>
        <w:szCs w:val="28"/>
      </w:rPr>
    </w:pPr>
    <w:r>
      <w:rPr>
        <w:rStyle w:val="5"/>
        <w:rFonts w:ascii="宋体" w:hAnsi="宋体"/>
        <w:sz w:val="28"/>
        <w:szCs w:val="28"/>
      </w:rPr>
      <w:fldChar w:fldCharType="begin"/>
    </w:r>
    <w:r>
      <w:rPr>
        <w:rStyle w:val="5"/>
        <w:rFonts w:ascii="宋体" w:hAnsi="宋体"/>
        <w:sz w:val="28"/>
        <w:szCs w:val="28"/>
      </w:rPr>
      <w:instrText xml:space="preserve">PAGE  </w:instrText>
    </w:r>
    <w:r>
      <w:rPr>
        <w:rStyle w:val="5"/>
        <w:rFonts w:ascii="宋体" w:hAnsi="宋体"/>
        <w:sz w:val="28"/>
        <w:szCs w:val="28"/>
      </w:rPr>
      <w:fldChar w:fldCharType="separate"/>
    </w:r>
    <w:r>
      <w:rPr>
        <w:rStyle w:val="5"/>
        <w:rFonts w:ascii="宋体" w:hAnsi="宋体"/>
        <w:sz w:val="28"/>
        <w:szCs w:val="28"/>
      </w:rPr>
      <w:t>- 4 -</w:t>
    </w:r>
    <w:r>
      <w:rPr>
        <w:rStyle w:val="5"/>
        <w:rFonts w:ascii="宋体" w:hAnsi="宋体"/>
        <w:sz w:val="28"/>
        <w:szCs w:val="28"/>
      </w:rPr>
      <w:fldChar w:fldCharType="end"/>
    </w:r>
  </w:p>
  <w:p w14:paraId="403C1951"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6F710E"/>
    <w:rsid w:val="066F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  <w:style w:type="paragraph" w:customStyle="1" w:styleId="6">
    <w:name w:val="表格图片"/>
    <w:basedOn w:val="1"/>
    <w:qFormat/>
    <w:uiPriority w:val="0"/>
    <w:pPr>
      <w:spacing w:before="120" w:after="120"/>
      <w:ind w:left="100" w:leftChars="100" w:right="100" w:rightChars="100"/>
      <w:jc w:val="center"/>
    </w:pPr>
    <w:rPr>
      <w:rFonts w:asciiTheme="minorHAnsi" w:hAnsiTheme="minorHAnsi" w:cstheme="minorBid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2025-07-17T08:52:00Z</dcterms:created>
  <dc:creator>高兴宁</dc:creator>
  <cp:lastModifiedBy>高兴宁</cp:lastModifiedBy>
  <dcterms:modified xsi:type="dcterms:W3CDTF">2025-07-17T08:52:35Z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32F52AA05C484805817426C95D1A7964_11</vt:lpwstr>
  </property>
  <property fmtid="{D5CDD505-2E9C-101B-9397-08002B2CF9AE}" pid="4" name="KSOTemplateDocerSaveRecord">
    <vt:lpwstr>eyJoZGlkIjoiNzQ0Mjk0NThmZDNjMjQ2YjlhMzE3Njk0MGY0ODFmNjQiLCJ1c2VySWQiOiIzMzY3NjI0NzYifQ==</vt:lpwstr>
  </property>
</Properties>
</file>