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10768C">
      <w:pPr>
        <w:spacing w:line="520" w:lineRule="exact"/>
        <w:rPr>
          <w:rFonts w:hint="eastAsia" w:ascii="华文中宋" w:hAnsi="华文中宋" w:eastAsia="华文中宋"/>
          <w:b/>
          <w:bCs/>
          <w:sz w:val="36"/>
          <w:szCs w:val="40"/>
        </w:rPr>
      </w:pPr>
      <w:r>
        <w:rPr>
          <w:rFonts w:hint="eastAsia" w:ascii="华文中宋" w:hAnsi="华文中宋" w:eastAsia="华文中宋"/>
          <w:b/>
          <w:bCs/>
          <w:sz w:val="36"/>
          <w:szCs w:val="40"/>
        </w:rPr>
        <w:t>附件：《福清市瑞云塔南侧地块控制性详细规划》主要内容及规划图纸</w:t>
      </w:r>
    </w:p>
    <w:p w14:paraId="620D8A48">
      <w:pPr>
        <w:rPr>
          <w:rFonts w:hint="eastAsia" w:ascii="仿宋_GB2312" w:eastAsia="仿宋_GB2312"/>
          <w:b/>
          <w:sz w:val="32"/>
          <w:szCs w:val="32"/>
        </w:rPr>
      </w:pPr>
      <w:bookmarkStart w:id="0" w:name="_GoBack"/>
      <w:bookmarkEnd w:id="0"/>
    </w:p>
    <w:p w14:paraId="63948B81">
      <w:pPr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一、主要内容</w:t>
      </w:r>
    </w:p>
    <w:p w14:paraId="54B8C087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1、规划范围</w:t>
      </w:r>
    </w:p>
    <w:p w14:paraId="0AF98844">
      <w:pPr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本次规划区位于龙山街道瑞云塔南侧，交通便捷。规划范围东临玉塘路，南靠玉塘村、西接龙江，北邻瑞云塔，规划用地总面积1.67公顷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</w:p>
    <w:p w14:paraId="21ED5C97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2</w:t>
      </w:r>
      <w:r>
        <w:rPr>
          <w:rFonts w:hint="eastAsia" w:ascii="仿宋_GB2312" w:eastAsia="仿宋_GB2312"/>
          <w:b/>
          <w:sz w:val="32"/>
          <w:szCs w:val="32"/>
        </w:rPr>
        <w:t>、地块使用性质</w:t>
      </w:r>
    </w:p>
    <w:p w14:paraId="2A05D610"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地块用地性质分类和代码均采用国标《国土空间调查、规划、用途管制用地用海分类指南》（2023年11月），</w:t>
      </w:r>
      <w:r>
        <w:rPr>
          <w:rFonts w:ascii="仿宋_GB2312" w:eastAsia="仿宋_GB2312"/>
          <w:sz w:val="32"/>
          <w:szCs w:val="32"/>
        </w:rPr>
        <w:t>350181-08-F-32-01</w:t>
      </w:r>
      <w:r>
        <w:rPr>
          <w:rFonts w:hint="eastAsia" w:ascii="仿宋_GB2312" w:eastAsia="仿宋_GB2312"/>
          <w:sz w:val="32"/>
          <w:szCs w:val="32"/>
        </w:rPr>
        <w:t>为公园绿地（</w:t>
      </w:r>
      <w:r>
        <w:rPr>
          <w:rFonts w:ascii="仿宋_GB2312" w:eastAsia="仿宋_GB2312"/>
          <w:sz w:val="32"/>
          <w:szCs w:val="32"/>
        </w:rPr>
        <w:t>1401</w:t>
      </w:r>
      <w:r>
        <w:rPr>
          <w:rFonts w:hint="eastAsia" w:ascii="仿宋_GB2312" w:eastAsia="仿宋_GB2312"/>
          <w:sz w:val="32"/>
          <w:szCs w:val="32"/>
        </w:rPr>
        <w:t>），</w:t>
      </w:r>
      <w:r>
        <w:rPr>
          <w:rFonts w:ascii="仿宋_GB2312" w:eastAsia="仿宋_GB2312"/>
          <w:sz w:val="32"/>
          <w:szCs w:val="32"/>
        </w:rPr>
        <w:t>350181-08-F-43-02</w:t>
      </w:r>
      <w:r>
        <w:rPr>
          <w:rFonts w:hint="eastAsia" w:ascii="仿宋_GB2312" w:eastAsia="仿宋_GB2312"/>
          <w:sz w:val="32"/>
          <w:szCs w:val="32"/>
        </w:rPr>
        <w:t>为二类城镇住宅用地（</w:t>
      </w:r>
      <w:r>
        <w:rPr>
          <w:rFonts w:ascii="仿宋_GB2312" w:eastAsia="仿宋_GB2312"/>
          <w:sz w:val="32"/>
          <w:szCs w:val="32"/>
        </w:rPr>
        <w:t>070102</w:t>
      </w:r>
      <w:r>
        <w:rPr>
          <w:rFonts w:hint="eastAsia" w:ascii="仿宋_GB2312" w:eastAsia="仿宋_GB2312"/>
          <w:sz w:val="32"/>
          <w:szCs w:val="32"/>
        </w:rPr>
        <w:t>），</w:t>
      </w:r>
      <w:r>
        <w:rPr>
          <w:rFonts w:ascii="仿宋_GB2312" w:eastAsia="仿宋_GB2312"/>
          <w:sz w:val="32"/>
          <w:szCs w:val="32"/>
        </w:rPr>
        <w:t>350181-08-F-43-03</w:t>
      </w:r>
      <w:r>
        <w:rPr>
          <w:rFonts w:hint="eastAsia" w:ascii="仿宋_GB2312" w:eastAsia="仿宋_GB2312"/>
          <w:sz w:val="32"/>
          <w:szCs w:val="32"/>
        </w:rPr>
        <w:t>为公园绿地（</w:t>
      </w:r>
      <w:r>
        <w:rPr>
          <w:rFonts w:ascii="仿宋_GB2312" w:eastAsia="仿宋_GB2312"/>
          <w:sz w:val="32"/>
          <w:szCs w:val="32"/>
        </w:rPr>
        <w:t>1401</w:t>
      </w:r>
      <w:r>
        <w:rPr>
          <w:rFonts w:hint="eastAsia" w:ascii="仿宋_GB2312" w:eastAsia="仿宋_GB2312"/>
          <w:sz w:val="32"/>
          <w:szCs w:val="32"/>
        </w:rPr>
        <w:t>），</w:t>
      </w:r>
      <w:r>
        <w:rPr>
          <w:rFonts w:ascii="仿宋_GB2312" w:eastAsia="仿宋_GB2312"/>
          <w:sz w:val="32"/>
          <w:szCs w:val="32"/>
        </w:rPr>
        <w:t>350181-08-F236</w:t>
      </w:r>
      <w:r>
        <w:rPr>
          <w:rFonts w:hint="eastAsia" w:ascii="仿宋_GB2312" w:eastAsia="仿宋_GB2312"/>
          <w:sz w:val="32"/>
          <w:szCs w:val="32"/>
        </w:rPr>
        <w:t>为二类城镇住宅用地（070102）。</w:t>
      </w:r>
    </w:p>
    <w:p w14:paraId="650E4010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3</w:t>
      </w:r>
      <w:r>
        <w:rPr>
          <w:rFonts w:hint="eastAsia" w:ascii="仿宋_GB2312" w:eastAsia="仿宋_GB2312"/>
          <w:b/>
          <w:sz w:val="32"/>
          <w:szCs w:val="32"/>
        </w:rPr>
        <w:t>、城市设计引导</w:t>
      </w:r>
    </w:p>
    <w:p w14:paraId="6E5E94C8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风貌指引：应充分利用并挖掘有山有水的城市形象特征，充分利用五马山、龙江等山水资源，结合利桥古街、瑞云塔、黄阁仑牌坊，打造成城市对外形象展示的重点地段，与自然景观形成良性互动。塑造“显山露水”和“多元，动感，现代”的城市环境风貌空间，使得自然与人文景观相得益彰。</w:t>
      </w:r>
    </w:p>
    <w:p w14:paraId="1EEB49EB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建筑色彩：低、多层居住建筑及裙房的建筑色彩的使用应与建筑风格相协调，建议以白色、浅米色、浅灰色等为主色调，以营造现代化、居住小区、公园绿地氛围。</w:t>
      </w:r>
    </w:p>
    <w:p w14:paraId="28D5B1CB">
      <w:pPr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二、规划图纸</w:t>
      </w:r>
    </w:p>
    <w:p w14:paraId="29128972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1、土地利用规划图</w:t>
      </w:r>
    </w:p>
    <w:p w14:paraId="01B2956A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drawing>
          <wp:inline distT="0" distB="0" distL="0" distR="0">
            <wp:extent cx="5030470" cy="355790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067" cy="355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D37D3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2、道路交通规划图</w:t>
      </w:r>
    </w:p>
    <w:p w14:paraId="69AA8E61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drawing>
          <wp:inline distT="0" distB="0" distL="0" distR="0">
            <wp:extent cx="5093970" cy="36023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002" cy="360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E5642">
      <w:pPr>
        <w:ind w:firstLine="643" w:firstLineChars="200"/>
        <w:rPr>
          <w:rFonts w:ascii="仿宋_GB2312" w:eastAsia="仿宋_GB2312"/>
          <w:b/>
          <w:sz w:val="32"/>
          <w:szCs w:val="32"/>
        </w:rPr>
      </w:pPr>
    </w:p>
    <w:p w14:paraId="5B8AC25F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3、地块图则</w:t>
      </w:r>
    </w:p>
    <w:p w14:paraId="3926443F">
      <w:pPr>
        <w:ind w:firstLine="630" w:firstLineChars="300"/>
      </w:pPr>
      <w:r>
        <w:drawing>
          <wp:inline distT="0" distB="0" distL="0" distR="0">
            <wp:extent cx="5070475" cy="35852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698" cy="358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pgSz w:w="11906" w:h="16838"/>
      <w:pgMar w:top="1440" w:right="1797" w:bottom="1440" w:left="179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Batang">
    <w:altName w:val="Malgun Gothic"/>
    <w:panose1 w:val="02030600000101010101"/>
    <w:charset w:val="81"/>
    <w:family w:val="roman"/>
    <w:pitch w:val="default"/>
    <w:sig w:usb0="00000000" w:usb1="00000000" w:usb2="00000030" w:usb3="00000000" w:csb0="0008009F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205B7C">
    <w:pPr>
      <w:pStyle w:val="4"/>
      <w:framePr w:w="1099" w:wrap="around" w:vAnchor="text" w:hAnchor="page" w:x="8998" w:y="-2"/>
      <w:jc w:val="both"/>
      <w:rPr>
        <w:rStyle w:val="10"/>
        <w:rFonts w:ascii="宋体" w:hAnsi="宋体"/>
        <w:sz w:val="28"/>
        <w:szCs w:val="28"/>
      </w:rPr>
    </w:pPr>
    <w:r>
      <w:rPr>
        <w:rStyle w:val="10"/>
        <w:rFonts w:hint="eastAsia" w:ascii="宋体" w:hAnsi="宋体"/>
        <w:sz w:val="28"/>
        <w:szCs w:val="28"/>
      </w:rPr>
      <w:fldChar w:fldCharType="begin"/>
    </w:r>
    <w:r>
      <w:rPr>
        <w:rStyle w:val="10"/>
        <w:rFonts w:hint="eastAsia" w:ascii="宋体" w:hAnsi="宋体"/>
        <w:sz w:val="28"/>
        <w:szCs w:val="28"/>
      </w:rPr>
      <w:instrText xml:space="preserve">PAGE  </w:instrText>
    </w:r>
    <w:r>
      <w:rPr>
        <w:rStyle w:val="10"/>
        <w:rFonts w:hint="eastAsia" w:ascii="宋体" w:hAnsi="宋体"/>
        <w:sz w:val="28"/>
        <w:szCs w:val="28"/>
      </w:rPr>
      <w:fldChar w:fldCharType="separate"/>
    </w:r>
    <w:r>
      <w:rPr>
        <w:rStyle w:val="10"/>
        <w:rFonts w:ascii="宋体" w:hAnsi="宋体"/>
        <w:sz w:val="28"/>
        <w:szCs w:val="28"/>
      </w:rPr>
      <w:t>- 5 -</w:t>
    </w:r>
    <w:r>
      <w:rPr>
        <w:rStyle w:val="10"/>
        <w:rFonts w:hint="eastAsia" w:ascii="宋体" w:hAnsi="宋体"/>
        <w:sz w:val="28"/>
        <w:szCs w:val="28"/>
      </w:rPr>
      <w:fldChar w:fldCharType="end"/>
    </w:r>
    <w:r>
      <w:rPr>
        <w:rStyle w:val="10"/>
        <w:rFonts w:hint="eastAsia" w:ascii="宋体" w:hAnsi="宋体"/>
        <w:sz w:val="28"/>
        <w:szCs w:val="28"/>
      </w:rPr>
      <w:t xml:space="preserve">       </w:t>
    </w:r>
  </w:p>
  <w:p w14:paraId="2562823C">
    <w:pPr>
      <w:pStyle w:val="4"/>
      <w:ind w:right="360" w:firstLine="360"/>
      <w:rPr>
        <w:rFonts w:ascii="仿宋_GB2312" w:eastAsia="仿宋_GB2312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4F2988">
    <w:pPr>
      <w:pStyle w:val="4"/>
      <w:framePr w:wrap="around" w:vAnchor="text" w:hAnchor="margin" w:xAlign="outside" w:y="1"/>
      <w:ind w:firstLine="280"/>
      <w:rPr>
        <w:rStyle w:val="10"/>
        <w:rFonts w:ascii="宋体" w:hAnsi="宋体"/>
        <w:sz w:val="28"/>
        <w:szCs w:val="28"/>
      </w:rPr>
    </w:pPr>
    <w:r>
      <w:rPr>
        <w:rStyle w:val="10"/>
        <w:rFonts w:ascii="宋体" w:hAnsi="宋体"/>
        <w:sz w:val="28"/>
        <w:szCs w:val="28"/>
      </w:rPr>
      <w:fldChar w:fldCharType="begin"/>
    </w:r>
    <w:r>
      <w:rPr>
        <w:rStyle w:val="10"/>
        <w:rFonts w:ascii="宋体" w:hAnsi="宋体"/>
        <w:sz w:val="28"/>
        <w:szCs w:val="28"/>
      </w:rPr>
      <w:instrText xml:space="preserve">PAGE  </w:instrText>
    </w:r>
    <w:r>
      <w:rPr>
        <w:rStyle w:val="10"/>
        <w:rFonts w:ascii="宋体" w:hAnsi="宋体"/>
        <w:sz w:val="28"/>
        <w:szCs w:val="28"/>
      </w:rPr>
      <w:fldChar w:fldCharType="separate"/>
    </w:r>
    <w:r>
      <w:rPr>
        <w:rStyle w:val="10"/>
        <w:rFonts w:ascii="宋体" w:hAnsi="宋体"/>
        <w:sz w:val="28"/>
        <w:szCs w:val="28"/>
      </w:rPr>
      <w:t>- 2 -</w:t>
    </w:r>
    <w:r>
      <w:rPr>
        <w:rStyle w:val="10"/>
        <w:rFonts w:ascii="宋体" w:hAnsi="宋体"/>
        <w:sz w:val="28"/>
        <w:szCs w:val="28"/>
      </w:rPr>
      <w:fldChar w:fldCharType="end"/>
    </w:r>
  </w:p>
  <w:p w14:paraId="27F92B1D">
    <w:pPr>
      <w:pStyle w:val="4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E3F"/>
    <w:rsid w:val="000421B4"/>
    <w:rsid w:val="00073B6C"/>
    <w:rsid w:val="00096720"/>
    <w:rsid w:val="000B01E1"/>
    <w:rsid w:val="000C115F"/>
    <w:rsid w:val="000D2B0E"/>
    <w:rsid w:val="001673DF"/>
    <w:rsid w:val="001B116C"/>
    <w:rsid w:val="001B42A0"/>
    <w:rsid w:val="001D470C"/>
    <w:rsid w:val="002533F8"/>
    <w:rsid w:val="00260A3C"/>
    <w:rsid w:val="00270559"/>
    <w:rsid w:val="002A1D45"/>
    <w:rsid w:val="002A4290"/>
    <w:rsid w:val="002F24E1"/>
    <w:rsid w:val="0032504B"/>
    <w:rsid w:val="0034261F"/>
    <w:rsid w:val="0034790C"/>
    <w:rsid w:val="003706BC"/>
    <w:rsid w:val="00382946"/>
    <w:rsid w:val="003D32E4"/>
    <w:rsid w:val="004112DF"/>
    <w:rsid w:val="00423A25"/>
    <w:rsid w:val="00443E17"/>
    <w:rsid w:val="004A0FE4"/>
    <w:rsid w:val="004B33F4"/>
    <w:rsid w:val="004B5E09"/>
    <w:rsid w:val="0052159B"/>
    <w:rsid w:val="00536D41"/>
    <w:rsid w:val="0054075F"/>
    <w:rsid w:val="00542E7E"/>
    <w:rsid w:val="00583C5D"/>
    <w:rsid w:val="005957BF"/>
    <w:rsid w:val="005C4EBB"/>
    <w:rsid w:val="005E139E"/>
    <w:rsid w:val="006124E4"/>
    <w:rsid w:val="006219E1"/>
    <w:rsid w:val="00626E3B"/>
    <w:rsid w:val="006667C7"/>
    <w:rsid w:val="006A12F4"/>
    <w:rsid w:val="006B42E0"/>
    <w:rsid w:val="006E3004"/>
    <w:rsid w:val="006E7C06"/>
    <w:rsid w:val="006F1F4A"/>
    <w:rsid w:val="0070633F"/>
    <w:rsid w:val="00796926"/>
    <w:rsid w:val="007A62C6"/>
    <w:rsid w:val="007E00DF"/>
    <w:rsid w:val="007E7307"/>
    <w:rsid w:val="00866033"/>
    <w:rsid w:val="00866968"/>
    <w:rsid w:val="00897DBD"/>
    <w:rsid w:val="008B3914"/>
    <w:rsid w:val="0090377D"/>
    <w:rsid w:val="009131FC"/>
    <w:rsid w:val="009173AD"/>
    <w:rsid w:val="00930833"/>
    <w:rsid w:val="009D1F86"/>
    <w:rsid w:val="009F562C"/>
    <w:rsid w:val="00A15089"/>
    <w:rsid w:val="00A628D0"/>
    <w:rsid w:val="00A66136"/>
    <w:rsid w:val="00A70F17"/>
    <w:rsid w:val="00A72F4D"/>
    <w:rsid w:val="00A72FA7"/>
    <w:rsid w:val="00A805A1"/>
    <w:rsid w:val="00A9519E"/>
    <w:rsid w:val="00AB3857"/>
    <w:rsid w:val="00AF5AFF"/>
    <w:rsid w:val="00B85941"/>
    <w:rsid w:val="00BF7657"/>
    <w:rsid w:val="00C4015A"/>
    <w:rsid w:val="00C53967"/>
    <w:rsid w:val="00C53E4D"/>
    <w:rsid w:val="00CB752C"/>
    <w:rsid w:val="00CD7E3F"/>
    <w:rsid w:val="00CF27A0"/>
    <w:rsid w:val="00D451AF"/>
    <w:rsid w:val="00D61518"/>
    <w:rsid w:val="00D74A06"/>
    <w:rsid w:val="00D82B01"/>
    <w:rsid w:val="00DB32D4"/>
    <w:rsid w:val="00DB4B36"/>
    <w:rsid w:val="00DC73F1"/>
    <w:rsid w:val="00E06258"/>
    <w:rsid w:val="00E15F4A"/>
    <w:rsid w:val="00E416AE"/>
    <w:rsid w:val="00E41F50"/>
    <w:rsid w:val="00E43434"/>
    <w:rsid w:val="00E8594A"/>
    <w:rsid w:val="00E91607"/>
    <w:rsid w:val="00F017D5"/>
    <w:rsid w:val="00F159AD"/>
    <w:rsid w:val="00F24344"/>
    <w:rsid w:val="00F355BE"/>
    <w:rsid w:val="00F72674"/>
    <w:rsid w:val="00F81B14"/>
    <w:rsid w:val="00FE4D58"/>
    <w:rsid w:val="00FF4462"/>
    <w:rsid w:val="027470C3"/>
    <w:rsid w:val="0F087F6B"/>
    <w:rsid w:val="17CA350F"/>
    <w:rsid w:val="1ACE10C4"/>
    <w:rsid w:val="461313D5"/>
    <w:rsid w:val="65633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/>
    </w:pPr>
  </w:style>
  <w:style w:type="paragraph" w:styleId="3">
    <w:name w:val="Balloon Text"/>
    <w:basedOn w:val="1"/>
    <w:link w:val="12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link w:val="1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page number"/>
    <w:basedOn w:val="9"/>
    <w:qFormat/>
    <w:uiPriority w:val="0"/>
  </w:style>
  <w:style w:type="character" w:customStyle="1" w:styleId="11">
    <w:name w:val="普通(网站) 字符"/>
    <w:link w:val="6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12">
    <w:name w:val="批注框文本 字符"/>
    <w:basedOn w:val="9"/>
    <w:link w:val="3"/>
    <w:qFormat/>
    <w:uiPriority w:val="0"/>
    <w:rPr>
      <w:kern w:val="2"/>
      <w:sz w:val="18"/>
      <w:szCs w:val="18"/>
    </w:rPr>
  </w:style>
  <w:style w:type="paragraph" w:customStyle="1" w:styleId="13">
    <w:name w:val="表格图片"/>
    <w:basedOn w:val="1"/>
    <w:qFormat/>
    <w:uiPriority w:val="0"/>
    <w:pPr>
      <w:spacing w:before="120" w:after="120"/>
      <w:ind w:left="100" w:leftChars="100" w:right="100" w:rightChars="100"/>
      <w:jc w:val="center"/>
    </w:pPr>
    <w:rPr>
      <w:rFonts w:asciiTheme="minorHAnsi" w:hAnsiTheme="minorHAnsi" w:cstheme="minorBidi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741</Words>
  <Characters>899</Characters>
  <Lines>10</Lines>
  <Paragraphs>2</Paragraphs>
  <TotalTime>0</TotalTime>
  <ScaleCrop>false</ScaleCrop>
  <LinksUpToDate>false</LinksUpToDate>
  <CharactersWithSpaces>904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2022-05-27T08:12:00Z</dcterms:created>
  <dc:creator>User</dc:creator>
  <cp:lastModifiedBy>高兴宁</cp:lastModifiedBy>
  <cp:lastPrinted>2018-11-14T01:23:00Z</cp:lastPrinted>
  <dcterms:modified xsi:type="dcterms:W3CDTF">2025-11-11T08:14:40Z</dcterms:modified>
  <dc:title>融规 [2012] 253号                  签发人：郑卫东</dc:title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9FD710AB633E46A98603D8901EED7130_13</vt:lpwstr>
  </property>
  <property fmtid="{D5CDD505-2E9C-101B-9397-08002B2CF9AE}" pid="4" name="KSOTemplateDocerSaveRecord">
    <vt:lpwstr>eyJoZGlkIjoiNzQ0Mjk0NThmZDNjMjQ2YjlhMzE3Njk0MGY0ODFmNjQiLCJ1c2VySWQiOiIzMzY3NjI0NzYifQ==</vt:lpwstr>
  </property>
</Properties>
</file>