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华文中宋" w:hAnsi="华文中宋" w:eastAsia="华文中宋"/>
          <w:b/>
          <w:bCs/>
          <w:sz w:val="36"/>
          <w:szCs w:val="40"/>
        </w:rPr>
      </w:pPr>
      <w:bookmarkStart w:id="0" w:name="_GoBack"/>
      <w:bookmarkEnd w:id="0"/>
      <w:r>
        <w:rPr>
          <w:rFonts w:hint="eastAsia" w:ascii="华文中宋" w:hAnsi="华文中宋" w:eastAsia="华文中宋"/>
          <w:b/>
          <w:bCs/>
          <w:sz w:val="36"/>
          <w:szCs w:val="40"/>
        </w:rPr>
        <w:t>附件：《福清市</w:t>
      </w:r>
      <w:r>
        <w:rPr>
          <w:rFonts w:ascii="华文中宋" w:hAnsi="华文中宋" w:eastAsia="华文中宋"/>
          <w:b/>
          <w:bCs/>
          <w:sz w:val="36"/>
          <w:szCs w:val="40"/>
        </w:rPr>
        <w:t>350181-05-J-58</w:t>
      </w:r>
      <w:r>
        <w:rPr>
          <w:rFonts w:hint="eastAsia" w:ascii="华文中宋" w:hAnsi="华文中宋" w:eastAsia="华文中宋"/>
          <w:b/>
          <w:bCs/>
          <w:sz w:val="36"/>
          <w:szCs w:val="40"/>
        </w:rPr>
        <w:t>地块控制性详细规划》</w:t>
      </w:r>
    </w:p>
    <w:p>
      <w:pPr>
        <w:rPr>
          <w:rFonts w:ascii="仿宋_GB2312" w:eastAsia="仿宋_GB2312"/>
          <w:b/>
          <w:sz w:val="32"/>
          <w:szCs w:val="32"/>
        </w:rPr>
      </w:pPr>
      <w:r>
        <w:rPr>
          <w:rFonts w:hint="eastAsia" w:ascii="仿宋_GB2312" w:eastAsia="仿宋_GB2312"/>
          <w:b/>
          <w:sz w:val="32"/>
          <w:szCs w:val="32"/>
        </w:rPr>
        <w:t>一、主要内容</w:t>
      </w:r>
    </w:p>
    <w:p>
      <w:pPr>
        <w:ind w:firstLine="643" w:firstLineChars="200"/>
        <w:rPr>
          <w:rFonts w:ascii="仿宋_GB2312" w:eastAsia="仿宋_GB2312"/>
          <w:b/>
          <w:sz w:val="32"/>
          <w:szCs w:val="32"/>
        </w:rPr>
      </w:pPr>
      <w:r>
        <w:rPr>
          <w:rFonts w:hint="eastAsia" w:ascii="仿宋_GB2312" w:eastAsia="仿宋_GB2312"/>
          <w:b/>
          <w:sz w:val="32"/>
          <w:szCs w:val="32"/>
        </w:rPr>
        <w:t>1、规划范围</w:t>
      </w:r>
    </w:p>
    <w:p>
      <w:pPr>
        <w:ind w:firstLine="640" w:firstLineChars="200"/>
        <w:rPr>
          <w:rFonts w:ascii="仿宋_GB2312" w:eastAsia="仿宋_GB2312"/>
          <w:sz w:val="32"/>
          <w:szCs w:val="32"/>
        </w:rPr>
      </w:pPr>
      <w:r>
        <w:rPr>
          <w:rFonts w:hint="eastAsia" w:ascii="仿宋_GB2312" w:eastAsia="仿宋_GB2312"/>
          <w:sz w:val="32"/>
          <w:szCs w:val="32"/>
        </w:rPr>
        <w:t>本次规划地块属于福清市中心城区城中组团，位于清盛大道与福百路交叉口东北侧，规划用地总面积1.87公顷。</w:t>
      </w:r>
    </w:p>
    <w:p>
      <w:pPr>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、地块使用性质</w:t>
      </w:r>
    </w:p>
    <w:p>
      <w:pPr>
        <w:ind w:firstLine="640" w:firstLineChars="200"/>
        <w:rPr>
          <w:rFonts w:ascii="仿宋_GB2312" w:eastAsia="仿宋_GB2312"/>
          <w:sz w:val="32"/>
          <w:szCs w:val="32"/>
        </w:rPr>
      </w:pPr>
      <w:r>
        <w:rPr>
          <w:rFonts w:hint="eastAsia" w:ascii="仿宋_GB2312" w:eastAsia="仿宋_GB2312"/>
          <w:sz w:val="32"/>
          <w:szCs w:val="32"/>
        </w:rPr>
        <w:t>地块用地性质分类和代码均采用国标《城市用地分类与规划建设用地标准（GB 50137-2011）》，本规划地块350181-05-J-58用地性质为B1（商业设施用地）</w:t>
      </w:r>
    </w:p>
    <w:p>
      <w:pPr>
        <w:ind w:firstLine="643" w:firstLineChars="20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、地块控制指标</w:t>
      </w:r>
    </w:p>
    <w:p>
      <w:pPr>
        <w:ind w:firstLine="640" w:firstLineChars="200"/>
        <w:rPr>
          <w:rFonts w:ascii="仿宋_GB2312" w:eastAsia="仿宋_GB2312"/>
          <w:sz w:val="32"/>
          <w:szCs w:val="32"/>
        </w:rPr>
      </w:pPr>
      <w:r>
        <w:rPr>
          <w:rFonts w:hint="eastAsia" w:ascii="仿宋_GB2312" w:eastAsia="仿宋_GB2312"/>
          <w:sz w:val="32"/>
          <w:szCs w:val="32"/>
        </w:rPr>
        <w:t>容积率不高于</w:t>
      </w:r>
      <w:r>
        <w:rPr>
          <w:rFonts w:ascii="仿宋_GB2312" w:eastAsia="仿宋_GB2312"/>
          <w:sz w:val="32"/>
          <w:szCs w:val="32"/>
        </w:rPr>
        <w:t>3.8</w:t>
      </w:r>
      <w:r>
        <w:rPr>
          <w:rFonts w:hint="eastAsia" w:ascii="仿宋_GB2312" w:eastAsia="仿宋_GB2312"/>
          <w:sz w:val="32"/>
          <w:szCs w:val="32"/>
        </w:rPr>
        <w:t>，建筑密度不高于</w:t>
      </w:r>
      <w:r>
        <w:rPr>
          <w:rFonts w:ascii="仿宋_GB2312" w:eastAsia="仿宋_GB2312"/>
          <w:sz w:val="32"/>
          <w:szCs w:val="32"/>
        </w:rPr>
        <w:t>50%</w:t>
      </w:r>
      <w:r>
        <w:rPr>
          <w:rFonts w:hint="eastAsia" w:ascii="仿宋_GB2312" w:eastAsia="仿宋_GB2312"/>
          <w:sz w:val="32"/>
          <w:szCs w:val="32"/>
        </w:rPr>
        <w:t>，绿地率不低于</w:t>
      </w:r>
      <w:r>
        <w:rPr>
          <w:rFonts w:ascii="仿宋_GB2312" w:eastAsia="仿宋_GB2312"/>
          <w:sz w:val="32"/>
          <w:szCs w:val="32"/>
        </w:rPr>
        <w:t>25%</w:t>
      </w:r>
      <w:r>
        <w:rPr>
          <w:rFonts w:hint="eastAsia" w:ascii="仿宋_GB2312" w:eastAsia="仿宋_GB2312"/>
          <w:sz w:val="32"/>
          <w:szCs w:val="32"/>
        </w:rPr>
        <w:t>。</w:t>
      </w:r>
    </w:p>
    <w:p>
      <w:pPr>
        <w:ind w:firstLine="643" w:firstLineChars="200"/>
        <w:rPr>
          <w:rFonts w:ascii="仿宋_GB2312" w:eastAsia="仿宋_GB2312"/>
          <w:b/>
          <w:sz w:val="32"/>
          <w:szCs w:val="32"/>
        </w:rPr>
      </w:pPr>
      <w:r>
        <w:rPr>
          <w:rFonts w:ascii="仿宋_GB2312" w:eastAsia="仿宋_GB2312"/>
          <w:b/>
          <w:sz w:val="32"/>
          <w:szCs w:val="32"/>
        </w:rPr>
        <w:t>4</w:t>
      </w:r>
      <w:r>
        <w:rPr>
          <w:rFonts w:hint="eastAsia" w:ascii="仿宋_GB2312" w:eastAsia="仿宋_GB2312"/>
          <w:b/>
          <w:sz w:val="32"/>
          <w:szCs w:val="32"/>
        </w:rPr>
        <w:t>、城市设计引导</w:t>
      </w:r>
    </w:p>
    <w:p>
      <w:pPr>
        <w:ind w:firstLine="640" w:firstLineChars="200"/>
        <w:rPr>
          <w:rFonts w:ascii="仿宋_GB2312" w:eastAsia="仿宋_GB2312"/>
          <w:sz w:val="32"/>
          <w:szCs w:val="32"/>
        </w:rPr>
      </w:pPr>
      <w:r>
        <w:rPr>
          <w:rFonts w:hint="eastAsia" w:ascii="仿宋_GB2312" w:eastAsia="仿宋_GB2312"/>
          <w:sz w:val="32"/>
          <w:szCs w:val="32"/>
        </w:rPr>
        <w:t>通过石材、玻璃等与传统材料的结合通过立面虚实变化来塑造现代商业建筑风格，突出生活氛围和街区感。注意参考地方性建筑材料的物理特性与美学特性。</w:t>
      </w: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ascii="仿宋_GB2312" w:eastAsia="仿宋_GB2312"/>
          <w:sz w:val="32"/>
          <w:szCs w:val="32"/>
        </w:rPr>
      </w:pPr>
    </w:p>
    <w:p>
      <w:pPr>
        <w:ind w:firstLine="640" w:firstLineChars="200"/>
        <w:rPr>
          <w:rFonts w:hint="eastAsia" w:ascii="仿宋_GB2312" w:eastAsia="仿宋_GB2312"/>
          <w:sz w:val="32"/>
          <w:szCs w:val="32"/>
        </w:rPr>
      </w:pPr>
    </w:p>
    <w:p>
      <w:pPr>
        <w:ind w:firstLine="640" w:firstLineChars="200"/>
        <w:rPr>
          <w:rFonts w:ascii="仿宋_GB2312" w:eastAsia="仿宋_GB2312"/>
          <w:sz w:val="32"/>
          <w:szCs w:val="32"/>
        </w:rPr>
      </w:pPr>
    </w:p>
    <w:p>
      <w:pPr>
        <w:rPr>
          <w:rFonts w:ascii="仿宋_GB2312" w:eastAsia="仿宋_GB2312"/>
          <w:b/>
          <w:sz w:val="32"/>
          <w:szCs w:val="32"/>
        </w:rPr>
      </w:pPr>
      <w:r>
        <w:rPr>
          <w:rFonts w:hint="eastAsia" w:ascii="仿宋_GB2312" w:eastAsia="仿宋_GB2312"/>
          <w:b/>
          <w:sz w:val="32"/>
          <w:szCs w:val="32"/>
        </w:rPr>
        <w:t>二、规划图纸</w:t>
      </w:r>
    </w:p>
    <w:p>
      <w:pPr>
        <w:ind w:firstLine="643" w:firstLineChars="200"/>
        <w:rPr>
          <w:rFonts w:ascii="仿宋_GB2312" w:eastAsia="仿宋_GB2312"/>
          <w:b/>
          <w:sz w:val="32"/>
          <w:szCs w:val="32"/>
        </w:rPr>
      </w:pPr>
      <w:r>
        <w:rPr>
          <w:rFonts w:hint="eastAsia" w:ascii="仿宋_GB2312" w:eastAsia="仿宋_GB2312"/>
          <w:b/>
          <w:sz w:val="32"/>
          <w:szCs w:val="32"/>
        </w:rPr>
        <w:t>1、土地利用规划图</w:t>
      </w:r>
    </w:p>
    <w:p>
      <w:pPr>
        <w:rPr>
          <w:rFonts w:ascii="仿宋_GB2312" w:eastAsia="仿宋_GB2312"/>
          <w:b/>
          <w:sz w:val="32"/>
          <w:szCs w:val="32"/>
        </w:rPr>
      </w:pPr>
      <w:r>
        <w:rPr>
          <w:rFonts w:ascii="仿宋_GB2312" w:eastAsia="仿宋_GB2312"/>
          <w:b/>
          <w:sz w:val="32"/>
          <w:szCs w:val="32"/>
        </w:rPr>
        <w:drawing>
          <wp:inline distT="0" distB="0" distL="0" distR="0">
            <wp:extent cx="5279390" cy="372935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cstate="screen"/>
                    <a:srcRect/>
                    <a:stretch>
                      <a:fillRect/>
                    </a:stretch>
                  </pic:blipFill>
                  <pic:spPr>
                    <a:xfrm>
                      <a:off x="0" y="0"/>
                      <a:ext cx="5279390" cy="3729355"/>
                    </a:xfrm>
                    <a:prstGeom prst="rect">
                      <a:avLst/>
                    </a:prstGeom>
                    <a:noFill/>
                    <a:ln>
                      <a:noFill/>
                    </a:ln>
                  </pic:spPr>
                </pic:pic>
              </a:graphicData>
            </a:graphic>
          </wp:inline>
        </w:drawing>
      </w:r>
    </w:p>
    <w:p>
      <w:pPr>
        <w:ind w:firstLine="643" w:firstLineChars="200"/>
        <w:rPr>
          <w:rFonts w:ascii="仿宋_GB2312" w:eastAsia="仿宋_GB2312"/>
          <w:b/>
          <w:sz w:val="32"/>
          <w:szCs w:val="32"/>
        </w:rPr>
      </w:pPr>
      <w:r>
        <w:rPr>
          <w:rFonts w:hint="eastAsia" w:ascii="仿宋_GB2312" w:eastAsia="仿宋_GB2312"/>
          <w:b/>
          <w:sz w:val="32"/>
          <w:szCs w:val="32"/>
        </w:rPr>
        <w:t>2、道路交通规划图</w:t>
      </w:r>
    </w:p>
    <w:p>
      <w:pPr>
        <w:rPr>
          <w:rFonts w:ascii="仿宋_GB2312" w:eastAsia="仿宋_GB2312"/>
          <w:b/>
          <w:sz w:val="32"/>
          <w:szCs w:val="32"/>
        </w:rPr>
      </w:pPr>
      <w:r>
        <w:rPr>
          <w:rFonts w:ascii="仿宋_GB2312" w:eastAsia="仿宋_GB2312"/>
          <w:b/>
          <w:sz w:val="32"/>
          <w:szCs w:val="32"/>
        </w:rPr>
        <w:drawing>
          <wp:inline distT="0" distB="0" distL="0" distR="0">
            <wp:extent cx="5278120" cy="3728085"/>
            <wp:effectExtent l="0" t="0" r="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screen"/>
                    <a:srcRect/>
                    <a:stretch>
                      <a:fillRect/>
                    </a:stretch>
                  </pic:blipFill>
                  <pic:spPr>
                    <a:xfrm>
                      <a:off x="0" y="0"/>
                      <a:ext cx="5278120" cy="3728458"/>
                    </a:xfrm>
                    <a:prstGeom prst="rect">
                      <a:avLst/>
                    </a:prstGeom>
                    <a:noFill/>
                    <a:ln>
                      <a:noFill/>
                    </a:ln>
                  </pic:spPr>
                </pic:pic>
              </a:graphicData>
            </a:graphic>
          </wp:inline>
        </w:drawing>
      </w:r>
    </w:p>
    <w:p>
      <w:pPr>
        <w:ind w:firstLine="643" w:firstLineChars="200"/>
        <w:rPr>
          <w:rFonts w:ascii="仿宋_GB2312" w:eastAsia="仿宋_GB2312"/>
          <w:b/>
          <w:sz w:val="32"/>
          <w:szCs w:val="32"/>
        </w:rPr>
      </w:pPr>
      <w:r>
        <w:rPr>
          <w:rFonts w:hint="eastAsia" w:ascii="仿宋_GB2312" w:eastAsia="仿宋_GB2312"/>
          <w:b/>
          <w:sz w:val="32"/>
          <w:szCs w:val="32"/>
        </w:rPr>
        <w:t>3、地块图则</w:t>
      </w:r>
    </w:p>
    <w:p>
      <w:r>
        <w:drawing>
          <wp:inline distT="0" distB="0" distL="0" distR="0">
            <wp:extent cx="5263515" cy="3721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8" cstate="screen"/>
                    <a:srcRect/>
                    <a:stretch>
                      <a:fillRect/>
                    </a:stretch>
                  </pic:blipFill>
                  <pic:spPr>
                    <a:xfrm>
                      <a:off x="0" y="0"/>
                      <a:ext cx="5263515" cy="3721100"/>
                    </a:xfrm>
                    <a:prstGeom prst="rect">
                      <a:avLst/>
                    </a:prstGeom>
                    <a:noFill/>
                    <a:ln>
                      <a:noFill/>
                    </a:ln>
                  </pic:spPr>
                </pic:pic>
              </a:graphicData>
            </a:graphic>
          </wp:inline>
        </w:drawing>
      </w:r>
    </w:p>
    <w:sectPr>
      <w:footerReference r:id="rId3" w:type="default"/>
      <w:footerReference r:id="rId4" w:type="even"/>
      <w:pgSz w:w="11906" w:h="16838"/>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099" w:wrap="around" w:vAnchor="text" w:hAnchor="page" w:x="8998" w:y="-2"/>
      <w:jc w:val="both"/>
      <w:rPr>
        <w:rStyle w:val="9"/>
        <w:rFonts w:ascii="宋体" w:hAnsi="宋体"/>
        <w:sz w:val="28"/>
        <w:szCs w:val="28"/>
      </w:rPr>
    </w:pPr>
    <w:r>
      <w:rPr>
        <w:rStyle w:val="9"/>
        <w:rFonts w:hint="eastAsia" w:ascii="宋体" w:hAnsi="宋体"/>
        <w:sz w:val="28"/>
        <w:szCs w:val="28"/>
      </w:rPr>
      <w:fldChar w:fldCharType="begin"/>
    </w:r>
    <w:r>
      <w:rPr>
        <w:rStyle w:val="9"/>
        <w:rFonts w:hint="eastAsia" w:ascii="宋体" w:hAnsi="宋体"/>
        <w:sz w:val="28"/>
        <w:szCs w:val="28"/>
      </w:rPr>
      <w:instrText xml:space="preserve">PAGE  </w:instrText>
    </w:r>
    <w:r>
      <w:rPr>
        <w:rStyle w:val="9"/>
        <w:rFonts w:hint="eastAsia" w:ascii="宋体" w:hAnsi="宋体"/>
        <w:sz w:val="28"/>
        <w:szCs w:val="28"/>
      </w:rPr>
      <w:fldChar w:fldCharType="separate"/>
    </w:r>
    <w:r>
      <w:rPr>
        <w:rStyle w:val="9"/>
        <w:rFonts w:ascii="宋体" w:hAnsi="宋体"/>
        <w:sz w:val="28"/>
        <w:szCs w:val="28"/>
      </w:rPr>
      <w:t>- 1 -</w:t>
    </w:r>
    <w:r>
      <w:rPr>
        <w:rStyle w:val="9"/>
        <w:rFonts w:hint="eastAsia" w:ascii="宋体" w:hAnsi="宋体"/>
        <w:sz w:val="28"/>
        <w:szCs w:val="28"/>
      </w:rPr>
      <w:fldChar w:fldCharType="end"/>
    </w:r>
    <w:r>
      <w:rPr>
        <w:rStyle w:val="9"/>
        <w:rFonts w:hint="eastAsia" w:ascii="宋体" w:hAnsi="宋体"/>
        <w:sz w:val="28"/>
        <w:szCs w:val="28"/>
      </w:rPr>
      <w:t xml:space="preserve">       </w:t>
    </w:r>
  </w:p>
  <w:p>
    <w:pPr>
      <w:pStyle w:val="4"/>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firstLine="280"/>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- 2 -</w:t>
    </w:r>
    <w:r>
      <w:rPr>
        <w:rStyle w:val="9"/>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jE5YTBiZjczNTlkZGJkYTZkMDA0Y2E5YzA5MTMifQ=="/>
  </w:docVars>
  <w:rsids>
    <w:rsidRoot w:val="00CD7E3F"/>
    <w:rsid w:val="000421B4"/>
    <w:rsid w:val="00073B6C"/>
    <w:rsid w:val="000B01E1"/>
    <w:rsid w:val="000D2B0E"/>
    <w:rsid w:val="00260A3C"/>
    <w:rsid w:val="002A4290"/>
    <w:rsid w:val="002F24E1"/>
    <w:rsid w:val="0034261F"/>
    <w:rsid w:val="003706BC"/>
    <w:rsid w:val="003D32E4"/>
    <w:rsid w:val="004112DF"/>
    <w:rsid w:val="004B33F4"/>
    <w:rsid w:val="00536D41"/>
    <w:rsid w:val="0054075F"/>
    <w:rsid w:val="00583C5D"/>
    <w:rsid w:val="005957BF"/>
    <w:rsid w:val="005E139E"/>
    <w:rsid w:val="006124E4"/>
    <w:rsid w:val="00626E3B"/>
    <w:rsid w:val="006A12F4"/>
    <w:rsid w:val="006B42E0"/>
    <w:rsid w:val="0070633F"/>
    <w:rsid w:val="007A62C6"/>
    <w:rsid w:val="007E00DF"/>
    <w:rsid w:val="00897DBD"/>
    <w:rsid w:val="008B3914"/>
    <w:rsid w:val="009131FC"/>
    <w:rsid w:val="009D1F86"/>
    <w:rsid w:val="00A628D0"/>
    <w:rsid w:val="00A72F4D"/>
    <w:rsid w:val="00A9519E"/>
    <w:rsid w:val="00AB3857"/>
    <w:rsid w:val="00B85941"/>
    <w:rsid w:val="00C4015A"/>
    <w:rsid w:val="00CD7E3F"/>
    <w:rsid w:val="00D451AF"/>
    <w:rsid w:val="00D74A06"/>
    <w:rsid w:val="00F017D5"/>
    <w:rsid w:val="00F24344"/>
    <w:rsid w:val="00FF4462"/>
    <w:rsid w:val="027470C3"/>
    <w:rsid w:val="17CA350F"/>
    <w:rsid w:val="1ACE10C4"/>
    <w:rsid w:val="405041EF"/>
    <w:rsid w:val="461313D5"/>
    <w:rsid w:val="59680FDE"/>
    <w:rsid w:val="65633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link w:val="10"/>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普通(网站) 字符"/>
    <w:link w:val="6"/>
    <w:qFormat/>
    <w:uiPriority w:val="0"/>
    <w:rPr>
      <w:rFonts w:ascii="宋体" w:hAnsi="宋体" w:eastAsia="宋体" w:cs="宋体"/>
      <w:sz w:val="24"/>
      <w:szCs w:val="24"/>
      <w:lang w:val="en-US" w:eastAsia="zh-CN" w:bidi="ar-SA"/>
    </w:rPr>
  </w:style>
  <w:style w:type="character" w:customStyle="1" w:styleId="11">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676</Words>
  <Characters>779</Characters>
  <Lines>5</Lines>
  <Paragraphs>1</Paragraphs>
  <TotalTime>0</TotalTime>
  <ScaleCrop>false</ScaleCrop>
  <LinksUpToDate>false</LinksUpToDate>
  <CharactersWithSpaces>786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2022-05-27T08:12:00Z</dcterms:created>
  <dc:creator>User</dc:creator>
  <cp:lastModifiedBy>十年灯</cp:lastModifiedBy>
  <cp:lastPrinted>2018-11-14T01:23:00Z</cp:lastPrinted>
  <dcterms:modified xsi:type="dcterms:W3CDTF">2022-05-30T09:11:04Z</dcterms:modified>
  <dc:title>融规 [2012] 253号                  签发人：郑卫东</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F0BC33F4D80D47E0BDCA9B7D49DB74FE</vt:lpwstr>
  </property>
</Properties>
</file>