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4" w:lineRule="exact"/>
        <w:rPr>
          <w:sz w:val="24"/>
          <w:szCs w:val="24"/>
          <w:color w:val="auto"/>
        </w:rPr>
      </w:pPr>
    </w:p>
    <w:p>
      <w:pPr>
        <w:jc w:val="center"/>
        <w:ind w:right="6"/>
        <w:spacing w:after="0" w:line="534" w:lineRule="exact"/>
        <w:rPr>
          <w:sz w:val="20"/>
          <w:szCs w:val="20"/>
          <w:color w:val="auto"/>
        </w:rPr>
      </w:pPr>
      <w:r>
        <w:rPr>
          <w:rFonts w:ascii="Arial" w:cs="Arial" w:eastAsia="Arial" w:hAnsi="Arial"/>
          <w:sz w:val="44"/>
          <w:szCs w:val="44"/>
          <w:color w:val="auto"/>
        </w:rPr>
        <w:t>“</w:t>
      </w:r>
      <w:r>
        <w:rPr>
          <w:rFonts w:ascii="宋体" w:cs="宋体" w:eastAsia="宋体" w:hAnsi="宋体"/>
          <w:sz w:val="44"/>
          <w:szCs w:val="44"/>
          <w:color w:val="auto"/>
        </w:rPr>
        <w:t>十四五</w:t>
      </w:r>
      <w:r>
        <w:rPr>
          <w:rFonts w:ascii="Arial" w:cs="Arial" w:eastAsia="Arial" w:hAnsi="Arial"/>
          <w:sz w:val="44"/>
          <w:szCs w:val="44"/>
          <w:color w:val="auto"/>
        </w:rPr>
        <w:t>”</w:t>
      </w:r>
      <w:r>
        <w:rPr>
          <w:rFonts w:ascii="宋体" w:cs="宋体" w:eastAsia="宋体" w:hAnsi="宋体"/>
          <w:sz w:val="44"/>
          <w:szCs w:val="44"/>
          <w:color w:val="auto"/>
        </w:rPr>
        <w:t>全国城市基础设施建设规划</w:t>
      </w:r>
    </w:p>
    <w:p>
      <w:pPr>
        <w:spacing w:after="0" w:line="200" w:lineRule="exact"/>
        <w:rPr>
          <w:sz w:val="24"/>
          <w:szCs w:val="24"/>
          <w:color w:val="auto"/>
        </w:rPr>
      </w:pPr>
    </w:p>
    <w:p>
      <w:pPr>
        <w:spacing w:after="0" w:line="200" w:lineRule="exact"/>
        <w:rPr>
          <w:sz w:val="24"/>
          <w:szCs w:val="24"/>
          <w:color w:val="auto"/>
        </w:rPr>
      </w:pPr>
    </w:p>
    <w:p>
      <w:pPr>
        <w:spacing w:after="0" w:line="384" w:lineRule="exact"/>
        <w:rPr>
          <w:sz w:val="24"/>
          <w:szCs w:val="24"/>
          <w:color w:val="auto"/>
        </w:rPr>
      </w:pPr>
    </w:p>
    <w:p>
      <w:pPr>
        <w:ind w:left="260" w:right="106" w:firstLine="638"/>
        <w:spacing w:after="0" w:line="559" w:lineRule="exact"/>
        <w:rPr>
          <w:sz w:val="20"/>
          <w:szCs w:val="20"/>
          <w:color w:val="auto"/>
        </w:rPr>
      </w:pPr>
      <w:r>
        <w:rPr>
          <w:rFonts w:ascii="宋体" w:cs="宋体" w:eastAsia="宋体" w:hAnsi="宋体"/>
          <w:sz w:val="32"/>
          <w:szCs w:val="32"/>
          <w:color w:val="0C0C0C"/>
        </w:rPr>
        <w:t>城市基础设施是保障城市正常运行和健康发展的物质基础，也是实现经济转型的重要支撑、改善民生的重要抓手、防范安全风险的重要保障。构建系统完备、高效实用、智能绿色、安全可靠的现代化基础设施体系，对更好地推进以人为核心的城镇化，畅通国内大循环、促进国内国际双循环，扩大内需，推动高质量发展具有重大意义，是确保</w:t>
      </w:r>
      <w:r>
        <w:rPr>
          <w:rFonts w:ascii="Arial" w:cs="Arial" w:eastAsia="Arial" w:hAnsi="Arial"/>
          <w:sz w:val="32"/>
          <w:szCs w:val="32"/>
          <w:color w:val="0C0C0C"/>
        </w:rPr>
        <w:t>“</w:t>
      </w:r>
      <w:r>
        <w:rPr>
          <w:rFonts w:ascii="宋体" w:cs="宋体" w:eastAsia="宋体" w:hAnsi="宋体"/>
          <w:sz w:val="32"/>
          <w:szCs w:val="32"/>
          <w:color w:val="0C0C0C"/>
        </w:rPr>
        <w:t>十四五</w:t>
      </w:r>
      <w:r>
        <w:rPr>
          <w:rFonts w:ascii="Arial" w:cs="Arial" w:eastAsia="Arial" w:hAnsi="Arial"/>
          <w:sz w:val="32"/>
          <w:szCs w:val="32"/>
          <w:color w:val="0C0C0C"/>
        </w:rPr>
        <w:t>”</w:t>
      </w:r>
      <w:r>
        <w:rPr>
          <w:rFonts w:ascii="宋体" w:cs="宋体" w:eastAsia="宋体" w:hAnsi="宋体"/>
          <w:sz w:val="32"/>
          <w:szCs w:val="32"/>
          <w:color w:val="0C0C0C"/>
        </w:rPr>
        <w:t>时期城市社会经济全面、协调、可持续发展开好局起好步的重要基础。</w:t>
      </w:r>
    </w:p>
    <w:p>
      <w:pPr>
        <w:spacing w:after="0" w:line="288" w:lineRule="exact"/>
        <w:rPr>
          <w:sz w:val="24"/>
          <w:szCs w:val="24"/>
          <w:color w:val="auto"/>
        </w:rPr>
      </w:pPr>
    </w:p>
    <w:p>
      <w:pPr>
        <w:jc w:val="both"/>
        <w:ind w:left="260" w:right="266" w:firstLine="638"/>
        <w:spacing w:after="0" w:line="559" w:lineRule="exact"/>
        <w:rPr>
          <w:sz w:val="20"/>
          <w:szCs w:val="20"/>
          <w:color w:val="auto"/>
        </w:rPr>
      </w:pPr>
      <w:r>
        <w:rPr>
          <w:rFonts w:ascii="宋体" w:cs="宋体" w:eastAsia="宋体" w:hAnsi="宋体"/>
          <w:sz w:val="31"/>
          <w:szCs w:val="31"/>
          <w:color w:val="0C0C0C"/>
        </w:rPr>
        <w:t>根据《中华人民共和国国民经济和社会发展第十四个五年规划和</w:t>
      </w:r>
      <w:r>
        <w:rPr>
          <w:rFonts w:ascii="Arial" w:cs="Arial" w:eastAsia="Arial" w:hAnsi="Arial"/>
          <w:sz w:val="31"/>
          <w:szCs w:val="31"/>
          <w:color w:val="0C0C0C"/>
        </w:rPr>
        <w:t xml:space="preserve"> 2035 </w:t>
      </w:r>
      <w:r>
        <w:rPr>
          <w:rFonts w:ascii="宋体" w:cs="宋体" w:eastAsia="宋体" w:hAnsi="宋体"/>
          <w:sz w:val="31"/>
          <w:szCs w:val="31"/>
          <w:color w:val="0C0C0C"/>
        </w:rPr>
        <w:t>年远景目标纲要》有关要求，按照党中央、国务院决策部署，住房和城乡建设部、国家发展改革委会同相关部门编制了《</w:t>
      </w:r>
      <w:r>
        <w:rPr>
          <w:rFonts w:ascii="Arial" w:cs="Arial" w:eastAsia="Arial" w:hAnsi="Arial"/>
          <w:sz w:val="31"/>
          <w:szCs w:val="31"/>
          <w:color w:val="0C0C0C"/>
        </w:rPr>
        <w:t>“</w:t>
      </w:r>
      <w:r>
        <w:rPr>
          <w:rFonts w:ascii="宋体" w:cs="宋体" w:eastAsia="宋体" w:hAnsi="宋体"/>
          <w:sz w:val="31"/>
          <w:szCs w:val="31"/>
          <w:color w:val="0C0C0C"/>
        </w:rPr>
        <w:t>十四五</w:t>
      </w:r>
      <w:r>
        <w:rPr>
          <w:rFonts w:ascii="Arial" w:cs="Arial" w:eastAsia="Arial" w:hAnsi="Arial"/>
          <w:sz w:val="31"/>
          <w:szCs w:val="31"/>
          <w:color w:val="0C0C0C"/>
        </w:rPr>
        <w:t>”</w:t>
      </w:r>
      <w:r>
        <w:rPr>
          <w:rFonts w:ascii="宋体" w:cs="宋体" w:eastAsia="宋体" w:hAnsi="宋体"/>
          <w:sz w:val="31"/>
          <w:szCs w:val="31"/>
          <w:color w:val="0C0C0C"/>
        </w:rPr>
        <w:t>全国城市基础设施建设规划》（以下简称《规划》），规划范围为全国城市。《规划》提出了</w:t>
      </w:r>
      <w:r>
        <w:rPr>
          <w:rFonts w:ascii="Arial" w:cs="Arial" w:eastAsia="Arial" w:hAnsi="Arial"/>
          <w:sz w:val="31"/>
          <w:szCs w:val="31"/>
          <w:color w:val="0C0C0C"/>
        </w:rPr>
        <w:t>“</w:t>
      </w:r>
      <w:r>
        <w:rPr>
          <w:rFonts w:ascii="宋体" w:cs="宋体" w:eastAsia="宋体" w:hAnsi="宋体"/>
          <w:sz w:val="31"/>
          <w:szCs w:val="31"/>
          <w:color w:val="0C0C0C"/>
        </w:rPr>
        <w:t>十四五</w:t>
      </w:r>
      <w:r>
        <w:rPr>
          <w:rFonts w:ascii="Arial" w:cs="Arial" w:eastAsia="Arial" w:hAnsi="Arial"/>
          <w:sz w:val="31"/>
          <w:szCs w:val="31"/>
          <w:color w:val="0C0C0C"/>
        </w:rPr>
        <w:t>”</w:t>
      </w:r>
      <w:r>
        <w:rPr>
          <w:rFonts w:ascii="宋体" w:cs="宋体" w:eastAsia="宋体" w:hAnsi="宋体"/>
          <w:sz w:val="31"/>
          <w:szCs w:val="31"/>
          <w:color w:val="0C0C0C"/>
        </w:rPr>
        <w:t>时期城市基础设施建设的主要目标、重点任务、重大行动和保障措施，以指导各地城市基础设施健康有序发展。</w:t>
      </w:r>
    </w:p>
    <w:p>
      <w:pPr>
        <w:spacing w:after="0" w:line="244" w:lineRule="exact"/>
        <w:rPr>
          <w:sz w:val="24"/>
          <w:szCs w:val="24"/>
          <w:color w:val="auto"/>
        </w:rPr>
      </w:pPr>
    </w:p>
    <w:p>
      <w:pPr>
        <w:ind w:left="900"/>
        <w:spacing w:after="0" w:line="366" w:lineRule="exact"/>
        <w:rPr>
          <w:sz w:val="20"/>
          <w:szCs w:val="20"/>
          <w:color w:val="auto"/>
        </w:rPr>
      </w:pPr>
      <w:r>
        <w:rPr>
          <w:rFonts w:ascii="黑体" w:cs="黑体" w:eastAsia="黑体" w:hAnsi="黑体"/>
          <w:sz w:val="32"/>
          <w:szCs w:val="32"/>
          <w:color w:val="auto"/>
        </w:rPr>
        <w:t>一、发展环境</w:t>
      </w:r>
    </w:p>
    <w:p>
      <w:pPr>
        <w:spacing w:after="0" w:line="208" w:lineRule="exact"/>
        <w:rPr>
          <w:sz w:val="24"/>
          <w:szCs w:val="24"/>
          <w:color w:val="auto"/>
        </w:rPr>
      </w:pPr>
    </w:p>
    <w:p>
      <w:pPr>
        <w:ind w:left="900"/>
        <w:spacing w:after="0" w:line="388" w:lineRule="exact"/>
        <w:rPr>
          <w:sz w:val="20"/>
          <w:szCs w:val="20"/>
          <w:color w:val="auto"/>
        </w:rPr>
      </w:pPr>
      <w:r>
        <w:rPr>
          <w:rFonts w:ascii="Arial" w:cs="Arial" w:eastAsia="Arial" w:hAnsi="Arial"/>
          <w:sz w:val="32"/>
          <w:szCs w:val="32"/>
          <w:color w:val="0C0C0C"/>
        </w:rPr>
        <w:t>“</w:t>
      </w:r>
      <w:r>
        <w:rPr>
          <w:rFonts w:ascii="宋体" w:cs="宋体" w:eastAsia="宋体" w:hAnsi="宋体"/>
          <w:sz w:val="32"/>
          <w:szCs w:val="32"/>
          <w:color w:val="0C0C0C"/>
        </w:rPr>
        <w:t>十三五</w:t>
      </w:r>
      <w:r>
        <w:rPr>
          <w:rFonts w:ascii="Arial" w:cs="Arial" w:eastAsia="Arial" w:hAnsi="Arial"/>
          <w:sz w:val="32"/>
          <w:szCs w:val="32"/>
          <w:color w:val="0C0C0C"/>
        </w:rPr>
        <w:t>”</w:t>
      </w:r>
      <w:r>
        <w:rPr>
          <w:rFonts w:ascii="宋体" w:cs="宋体" w:eastAsia="宋体" w:hAnsi="宋体"/>
          <w:sz w:val="32"/>
          <w:szCs w:val="32"/>
          <w:color w:val="0C0C0C"/>
        </w:rPr>
        <w:t>期间，我国城市基础设施投入力度持续加大。</w:t>
      </w:r>
    </w:p>
    <w:p>
      <w:pPr>
        <w:spacing w:after="0" w:line="235" w:lineRule="exact"/>
        <w:rPr>
          <w:sz w:val="24"/>
          <w:szCs w:val="24"/>
          <w:color w:val="auto"/>
        </w:rPr>
      </w:pPr>
    </w:p>
    <w:p>
      <w:pPr>
        <w:ind w:left="260"/>
        <w:spacing w:after="0" w:line="366" w:lineRule="exact"/>
        <w:rPr>
          <w:sz w:val="20"/>
          <w:szCs w:val="20"/>
          <w:color w:val="auto"/>
        </w:rPr>
      </w:pPr>
      <w:r>
        <w:rPr>
          <w:rFonts w:ascii="宋体" w:cs="宋体" w:eastAsia="宋体" w:hAnsi="宋体"/>
          <w:sz w:val="32"/>
          <w:szCs w:val="32"/>
          <w:color w:val="0C0C0C"/>
        </w:rPr>
        <w:t>城市基础设施建设与改造工作稳步推进，设施能力与服务水平</w:t>
      </w:r>
    </w:p>
    <w:p>
      <w:pPr>
        <w:spacing w:after="0" w:line="235" w:lineRule="exact"/>
        <w:rPr>
          <w:sz w:val="24"/>
          <w:szCs w:val="24"/>
          <w:color w:val="auto"/>
        </w:rPr>
      </w:pPr>
    </w:p>
    <w:p>
      <w:pPr>
        <w:ind w:left="260"/>
        <w:spacing w:after="0" w:line="366" w:lineRule="exact"/>
        <w:rPr>
          <w:sz w:val="20"/>
          <w:szCs w:val="20"/>
          <w:color w:val="auto"/>
        </w:rPr>
      </w:pPr>
      <w:r>
        <w:rPr>
          <w:rFonts w:ascii="宋体" w:cs="宋体" w:eastAsia="宋体" w:hAnsi="宋体"/>
          <w:sz w:val="32"/>
          <w:szCs w:val="32"/>
          <w:color w:val="0C0C0C"/>
        </w:rPr>
        <w:t>不断提高，城市综合承载能力逐渐增强，城市人居环境显著改</w:t>
      </w:r>
    </w:p>
    <w:p>
      <w:pPr>
        <w:spacing w:after="0" w:line="235" w:lineRule="exact"/>
        <w:rPr>
          <w:sz w:val="24"/>
          <w:szCs w:val="24"/>
          <w:color w:val="auto"/>
        </w:rPr>
      </w:pPr>
    </w:p>
    <w:p>
      <w:pPr>
        <w:ind w:left="260"/>
        <w:spacing w:after="0" w:line="366" w:lineRule="exact"/>
        <w:rPr>
          <w:sz w:val="20"/>
          <w:szCs w:val="20"/>
          <w:color w:val="auto"/>
        </w:rPr>
      </w:pPr>
      <w:r>
        <w:rPr>
          <w:rFonts w:ascii="宋体" w:cs="宋体" w:eastAsia="宋体" w:hAnsi="宋体"/>
          <w:sz w:val="32"/>
          <w:szCs w:val="32"/>
          <w:color w:val="0C0C0C"/>
        </w:rPr>
        <w:t>善，人民生活品质不断提升。同时，城市基础设施领域发展不</w:t>
      </w:r>
    </w:p>
    <w:p>
      <w:pPr>
        <w:sectPr>
          <w:pgSz w:w="11900" w:h="16838" w:orient="portrait"/>
          <w:cols w:equalWidth="0" w:num="1">
            <w:col w:w="9026"/>
          </w:cols>
          <w:pgMar w:left="1440" w:top="1440" w:right="1440" w:bottom="666" w:gutter="0" w:footer="0" w:header="0"/>
        </w:sectPr>
      </w:pPr>
    </w:p>
    <w:p>
      <w:pPr>
        <w:spacing w:after="0" w:line="200" w:lineRule="exact"/>
        <w:rPr>
          <w:sz w:val="24"/>
          <w:szCs w:val="24"/>
          <w:color w:val="auto"/>
        </w:rPr>
      </w:pPr>
    </w:p>
    <w:p>
      <w:pPr>
        <w:spacing w:after="0" w:line="399"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20"/>
          <w:szCs w:val="20"/>
          <w:color w:val="auto"/>
        </w:rPr>
        <w:t>1</w:t>
      </w:r>
    </w:p>
    <w:p>
      <w:pPr>
        <w:sectPr>
          <w:pgSz w:w="11900" w:h="16838" w:orient="portrait"/>
          <w:cols w:equalWidth="0" w:num="1">
            <w:col w:w="9026"/>
          </w:cols>
          <w:pgMar w:left="1440" w:top="1440" w:right="1440" w:bottom="666" w:gutter="0" w:footer="0" w:header="0"/>
          <w:type w:val="continuous"/>
        </w:sectPr>
      </w:pPr>
    </w:p>
    <w:bookmarkStart w:id="1" w:name="page2"/>
    <w:bookmarkEnd w:id="1"/>
    <w:p>
      <w:pPr>
        <w:spacing w:after="0" w:line="200" w:lineRule="exact"/>
        <w:rPr>
          <w:sz w:val="20"/>
          <w:szCs w:val="20"/>
          <w:color w:val="auto"/>
        </w:rPr>
      </w:pPr>
    </w:p>
    <w:p>
      <w:pPr>
        <w:spacing w:after="0" w:line="222"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0C0C0C"/>
        </w:rPr>
        <w:t>平衡、不充分问题仍然突出，体系化水平、设施运行效率和效</w:t>
      </w:r>
    </w:p>
    <w:p>
      <w:pPr>
        <w:spacing w:after="0" w:line="235"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0C0C0C"/>
        </w:rPr>
        <w:t>益有待提高，安全韧性不足，这些问题已成为制约城市基础设</w:t>
      </w:r>
    </w:p>
    <w:p>
      <w:pPr>
        <w:spacing w:after="0" w:line="235"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0C0C0C"/>
        </w:rPr>
        <w:t>施高质量发展的瓶颈。</w:t>
      </w:r>
    </w:p>
    <w:p>
      <w:pPr>
        <w:spacing w:after="0" w:line="240" w:lineRule="exact"/>
        <w:rPr>
          <w:sz w:val="20"/>
          <w:szCs w:val="20"/>
          <w:color w:val="auto"/>
        </w:rPr>
      </w:pPr>
    </w:p>
    <w:p>
      <w:pPr>
        <w:jc w:val="center"/>
        <w:ind w:right="6"/>
        <w:spacing w:after="0" w:line="340" w:lineRule="exact"/>
        <w:rPr>
          <w:sz w:val="20"/>
          <w:szCs w:val="20"/>
          <w:color w:val="auto"/>
        </w:rPr>
      </w:pPr>
      <w:r>
        <w:rPr>
          <w:rFonts w:ascii="宋体" w:cs="宋体" w:eastAsia="宋体" w:hAnsi="宋体"/>
          <w:sz w:val="28"/>
          <w:szCs w:val="28"/>
          <w:color w:val="0C0C0C"/>
        </w:rPr>
        <w:t>表</w:t>
      </w:r>
      <w:r>
        <w:rPr>
          <w:rFonts w:ascii="Arial" w:cs="Arial" w:eastAsia="Arial" w:hAnsi="Arial"/>
          <w:sz w:val="28"/>
          <w:szCs w:val="28"/>
          <w:color w:val="0C0C0C"/>
        </w:rPr>
        <w:t xml:space="preserve"> 1 “</w:t>
      </w:r>
      <w:r>
        <w:rPr>
          <w:rFonts w:ascii="宋体" w:cs="宋体" w:eastAsia="宋体" w:hAnsi="宋体"/>
          <w:sz w:val="28"/>
          <w:szCs w:val="28"/>
          <w:color w:val="0C0C0C"/>
        </w:rPr>
        <w:t>十三五</w:t>
      </w:r>
      <w:r>
        <w:rPr>
          <w:rFonts w:ascii="Arial" w:cs="Arial" w:eastAsia="Arial" w:hAnsi="Arial"/>
          <w:sz w:val="28"/>
          <w:szCs w:val="28"/>
          <w:color w:val="0C0C0C"/>
        </w:rPr>
        <w:t>”</w:t>
      </w:r>
      <w:r>
        <w:rPr>
          <w:rFonts w:ascii="宋体" w:cs="宋体" w:eastAsia="宋体" w:hAnsi="宋体"/>
          <w:sz w:val="28"/>
          <w:szCs w:val="28"/>
          <w:color w:val="0C0C0C"/>
        </w:rPr>
        <w:t>全国城市基础设施建设主要进展</w:t>
      </w:r>
    </w:p>
    <w:p>
      <w:pPr>
        <w:spacing w:after="0" w:line="59" w:lineRule="exact"/>
        <w:rPr>
          <w:sz w:val="20"/>
          <w:szCs w:val="20"/>
          <w:color w:val="auto"/>
        </w:rPr>
      </w:pPr>
    </w:p>
    <w:tbl>
      <w:tblPr>
        <w:tblLayout w:type="fixed"/>
        <w:tblInd w:w="150" w:type="dxa"/>
        <w:tblCellMar>
          <w:top w:w="0" w:type="dxa"/>
          <w:left w:w="0" w:type="dxa"/>
          <w:bottom w:w="0" w:type="dxa"/>
          <w:right w:w="0" w:type="dxa"/>
        </w:tblCellMar>
      </w:tblPr>
      <w:tr>
        <w:trPr>
          <w:trHeight w:val="297"/>
        </w:trPr>
        <w:tc>
          <w:tcPr>
            <w:tcW w:w="1160" w:type="dxa"/>
            <w:vAlign w:val="bottom"/>
            <w:tcBorders>
              <w:top w:val="single" w:sz="8" w:color="auto"/>
              <w:left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b w:val="1"/>
                <w:bCs w:val="1"/>
                <w:color w:val="0C0C0C"/>
                <w:w w:val="99"/>
              </w:rPr>
              <w:t>类别</w:t>
            </w:r>
          </w:p>
        </w:tc>
        <w:tc>
          <w:tcPr>
            <w:tcW w:w="3540" w:type="dxa"/>
            <w:vAlign w:val="bottom"/>
            <w:tcBorders>
              <w:top w:val="single" w:sz="8" w:color="auto"/>
              <w:right w:val="single" w:sz="8" w:color="auto"/>
            </w:tcBorders>
          </w:tcPr>
          <w:p>
            <w:pPr>
              <w:ind w:left="1320"/>
              <w:spacing w:after="0" w:line="251" w:lineRule="exact"/>
              <w:rPr>
                <w:sz w:val="20"/>
                <w:szCs w:val="20"/>
                <w:color w:val="auto"/>
              </w:rPr>
            </w:pPr>
            <w:r>
              <w:rPr>
                <w:rFonts w:ascii="宋体" w:cs="宋体" w:eastAsia="宋体" w:hAnsi="宋体"/>
                <w:sz w:val="22"/>
                <w:szCs w:val="22"/>
                <w:b w:val="1"/>
                <w:bCs w:val="1"/>
                <w:color w:val="0C0C0C"/>
              </w:rPr>
              <w:t>指标名称</w:t>
            </w:r>
          </w:p>
        </w:tc>
        <w:tc>
          <w:tcPr>
            <w:tcW w:w="1120" w:type="dxa"/>
            <w:vAlign w:val="bottom"/>
            <w:tcBorders>
              <w:top w:val="single" w:sz="8" w:color="auto"/>
              <w:right w:val="single" w:sz="8" w:color="auto"/>
            </w:tcBorders>
          </w:tcPr>
          <w:p>
            <w:pPr>
              <w:jc w:val="center"/>
              <w:spacing w:after="0" w:line="267" w:lineRule="exact"/>
              <w:rPr>
                <w:sz w:val="20"/>
                <w:szCs w:val="20"/>
                <w:color w:val="auto"/>
              </w:rPr>
            </w:pPr>
            <w:r>
              <w:rPr>
                <w:rFonts w:ascii="Arial" w:cs="Arial" w:eastAsia="Arial" w:hAnsi="Arial"/>
                <w:sz w:val="22"/>
                <w:szCs w:val="22"/>
                <w:b w:val="1"/>
                <w:bCs w:val="1"/>
                <w:color w:val="0C0C0C"/>
                <w:w w:val="93"/>
              </w:rPr>
              <w:t xml:space="preserve">2015 </w:t>
            </w:r>
            <w:r>
              <w:rPr>
                <w:rFonts w:ascii="宋体" w:cs="宋体" w:eastAsia="宋体" w:hAnsi="宋体"/>
                <w:sz w:val="22"/>
                <w:szCs w:val="22"/>
                <w:b w:val="1"/>
                <w:bCs w:val="1"/>
                <w:color w:val="0C0C0C"/>
                <w:w w:val="93"/>
              </w:rPr>
              <w:t>年</w:t>
            </w:r>
          </w:p>
        </w:tc>
        <w:tc>
          <w:tcPr>
            <w:tcW w:w="1120" w:type="dxa"/>
            <w:vAlign w:val="bottom"/>
            <w:tcBorders>
              <w:top w:val="single" w:sz="8" w:color="auto"/>
              <w:right w:val="single" w:sz="8" w:color="auto"/>
            </w:tcBorders>
          </w:tcPr>
          <w:p>
            <w:pPr>
              <w:jc w:val="center"/>
              <w:spacing w:after="0" w:line="267" w:lineRule="exact"/>
              <w:rPr>
                <w:sz w:val="20"/>
                <w:szCs w:val="20"/>
                <w:color w:val="auto"/>
              </w:rPr>
            </w:pPr>
            <w:r>
              <w:rPr>
                <w:rFonts w:ascii="Arial" w:cs="Arial" w:eastAsia="Arial" w:hAnsi="Arial"/>
                <w:sz w:val="22"/>
                <w:szCs w:val="22"/>
                <w:b w:val="1"/>
                <w:bCs w:val="1"/>
                <w:color w:val="0C0C0C"/>
                <w:w w:val="93"/>
              </w:rPr>
              <w:t xml:space="preserve">2020 </w:t>
            </w:r>
            <w:r>
              <w:rPr>
                <w:rFonts w:ascii="宋体" w:cs="宋体" w:eastAsia="宋体" w:hAnsi="宋体"/>
                <w:sz w:val="22"/>
                <w:szCs w:val="22"/>
                <w:b w:val="1"/>
                <w:bCs w:val="1"/>
                <w:color w:val="0C0C0C"/>
                <w:w w:val="93"/>
              </w:rPr>
              <w:t>年</w:t>
            </w:r>
          </w:p>
        </w:tc>
        <w:tc>
          <w:tcPr>
            <w:tcW w:w="1800" w:type="dxa"/>
            <w:vAlign w:val="bottom"/>
            <w:tcBorders>
              <w:top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b w:val="1"/>
                <w:bCs w:val="1"/>
                <w:color w:val="0C0C0C"/>
                <w:w w:val="99"/>
              </w:rPr>
              <w:t>增长幅度</w:t>
            </w:r>
          </w:p>
        </w:tc>
        <w:tc>
          <w:tcPr>
            <w:tcW w:w="0" w:type="dxa"/>
            <w:vAlign w:val="bottom"/>
          </w:tcPr>
          <w:p>
            <w:pPr>
              <w:spacing w:after="0"/>
              <w:rPr>
                <w:sz w:val="1"/>
                <w:szCs w:val="1"/>
                <w:color w:val="auto"/>
              </w:rPr>
            </w:pPr>
          </w:p>
        </w:tc>
      </w:tr>
      <w:tr>
        <w:trPr>
          <w:trHeight w:val="70"/>
        </w:trPr>
        <w:tc>
          <w:tcPr>
            <w:tcW w:w="1160" w:type="dxa"/>
            <w:vAlign w:val="bottom"/>
            <w:tcBorders>
              <w:left w:val="single" w:sz="8" w:color="auto"/>
              <w:bottom w:val="single" w:sz="8" w:color="auto"/>
              <w:right w:val="single" w:sz="8" w:color="auto"/>
            </w:tcBorders>
          </w:tcPr>
          <w:p>
            <w:pPr>
              <w:spacing w:after="0"/>
              <w:rPr>
                <w:sz w:val="6"/>
                <w:szCs w:val="6"/>
                <w:color w:val="auto"/>
              </w:rPr>
            </w:pPr>
          </w:p>
        </w:tc>
        <w:tc>
          <w:tcPr>
            <w:tcW w:w="3540" w:type="dxa"/>
            <w:vAlign w:val="bottom"/>
            <w:tcBorders>
              <w:bottom w:val="single" w:sz="8" w:color="auto"/>
              <w:right w:val="single" w:sz="8" w:color="auto"/>
            </w:tcBorders>
          </w:tcPr>
          <w:p>
            <w:pPr>
              <w:spacing w:after="0"/>
              <w:rPr>
                <w:sz w:val="6"/>
                <w:szCs w:val="6"/>
                <w:color w:val="auto"/>
              </w:rPr>
            </w:pPr>
          </w:p>
        </w:tc>
        <w:tc>
          <w:tcPr>
            <w:tcW w:w="1120" w:type="dxa"/>
            <w:vAlign w:val="bottom"/>
            <w:tcBorders>
              <w:bottom w:val="single" w:sz="8" w:color="auto"/>
              <w:right w:val="single" w:sz="8" w:color="auto"/>
            </w:tcBorders>
          </w:tcPr>
          <w:p>
            <w:pPr>
              <w:spacing w:after="0"/>
              <w:rPr>
                <w:sz w:val="6"/>
                <w:szCs w:val="6"/>
                <w:color w:val="auto"/>
              </w:rPr>
            </w:pPr>
          </w:p>
        </w:tc>
        <w:tc>
          <w:tcPr>
            <w:tcW w:w="1120" w:type="dxa"/>
            <w:vAlign w:val="bottom"/>
            <w:tcBorders>
              <w:bottom w:val="single" w:sz="8" w:color="auto"/>
              <w:right w:val="single" w:sz="8" w:color="auto"/>
            </w:tcBorders>
          </w:tcPr>
          <w:p>
            <w:pPr>
              <w:spacing w:after="0"/>
              <w:rPr>
                <w:sz w:val="6"/>
                <w:szCs w:val="6"/>
                <w:color w:val="auto"/>
              </w:rPr>
            </w:pPr>
          </w:p>
        </w:tc>
        <w:tc>
          <w:tcPr>
            <w:tcW w:w="18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7"/>
        </w:trPr>
        <w:tc>
          <w:tcPr>
            <w:tcW w:w="1160" w:type="dxa"/>
            <w:vAlign w:val="bottom"/>
            <w:tcBorders>
              <w:left w:val="single" w:sz="8" w:color="auto"/>
              <w:right w:val="single" w:sz="8" w:color="auto"/>
            </w:tcBorders>
          </w:tcPr>
          <w:p>
            <w:pPr>
              <w:spacing w:after="0"/>
              <w:rPr>
                <w:sz w:val="24"/>
                <w:szCs w:val="24"/>
                <w:color w:val="auto"/>
              </w:rPr>
            </w:pPr>
          </w:p>
        </w:tc>
        <w:tc>
          <w:tcPr>
            <w:tcW w:w="3540" w:type="dxa"/>
            <w:vAlign w:val="bottom"/>
            <w:tcBorders>
              <w:right w:val="single" w:sz="8" w:color="auto"/>
            </w:tcBorders>
          </w:tcPr>
          <w:p>
            <w:pPr>
              <w:ind w:left="100"/>
              <w:spacing w:after="0" w:line="251" w:lineRule="exact"/>
              <w:rPr>
                <w:sz w:val="20"/>
                <w:szCs w:val="20"/>
                <w:color w:val="auto"/>
              </w:rPr>
            </w:pPr>
            <w:r>
              <w:rPr>
                <w:rFonts w:ascii="宋体" w:cs="宋体" w:eastAsia="宋体" w:hAnsi="宋体"/>
                <w:sz w:val="22"/>
                <w:szCs w:val="22"/>
                <w:color w:val="0C0C0C"/>
              </w:rPr>
              <w:t>人均城市道路面积（平方米）</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rPr>
              <w:t>15.6</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w w:val="97"/>
              </w:rPr>
              <w:t>18.0</w:t>
            </w:r>
          </w:p>
        </w:tc>
        <w:tc>
          <w:tcPr>
            <w:tcW w:w="180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w w:val="86"/>
              </w:rPr>
              <w:t>15.4%</w:t>
            </w:r>
          </w:p>
        </w:tc>
        <w:tc>
          <w:tcPr>
            <w:tcW w:w="0" w:type="dxa"/>
            <w:vAlign w:val="bottom"/>
          </w:tcPr>
          <w:p>
            <w:pPr>
              <w:spacing w:after="0"/>
              <w:rPr>
                <w:sz w:val="1"/>
                <w:szCs w:val="1"/>
                <w:color w:val="auto"/>
              </w:rPr>
            </w:pPr>
          </w:p>
        </w:tc>
      </w:tr>
      <w:tr>
        <w:trPr>
          <w:trHeight w:val="70"/>
        </w:trPr>
        <w:tc>
          <w:tcPr>
            <w:tcW w:w="1160" w:type="dxa"/>
            <w:vAlign w:val="bottom"/>
            <w:tcBorders>
              <w:left w:val="single" w:sz="8" w:color="auto"/>
              <w:right w:val="single" w:sz="8" w:color="auto"/>
            </w:tcBorders>
          </w:tcPr>
          <w:p>
            <w:pPr>
              <w:spacing w:after="0"/>
              <w:rPr>
                <w:sz w:val="6"/>
                <w:szCs w:val="6"/>
                <w:color w:val="auto"/>
              </w:rPr>
            </w:pPr>
          </w:p>
        </w:tc>
        <w:tc>
          <w:tcPr>
            <w:tcW w:w="3540" w:type="dxa"/>
            <w:vAlign w:val="bottom"/>
            <w:tcBorders>
              <w:bottom w:val="single" w:sz="8" w:color="auto"/>
              <w:right w:val="single" w:sz="8" w:color="auto"/>
            </w:tcBorders>
          </w:tcPr>
          <w:p>
            <w:pPr>
              <w:spacing w:after="0"/>
              <w:rPr>
                <w:sz w:val="6"/>
                <w:szCs w:val="6"/>
                <w:color w:val="auto"/>
              </w:rPr>
            </w:pPr>
          </w:p>
        </w:tc>
        <w:tc>
          <w:tcPr>
            <w:tcW w:w="1120" w:type="dxa"/>
            <w:vAlign w:val="bottom"/>
            <w:tcBorders>
              <w:bottom w:val="single" w:sz="8" w:color="auto"/>
              <w:right w:val="single" w:sz="8" w:color="auto"/>
            </w:tcBorders>
          </w:tcPr>
          <w:p>
            <w:pPr>
              <w:spacing w:after="0"/>
              <w:rPr>
                <w:sz w:val="6"/>
                <w:szCs w:val="6"/>
                <w:color w:val="auto"/>
              </w:rPr>
            </w:pPr>
          </w:p>
        </w:tc>
        <w:tc>
          <w:tcPr>
            <w:tcW w:w="1120" w:type="dxa"/>
            <w:vAlign w:val="bottom"/>
            <w:tcBorders>
              <w:bottom w:val="single" w:sz="8" w:color="auto"/>
              <w:right w:val="single" w:sz="8" w:color="auto"/>
            </w:tcBorders>
          </w:tcPr>
          <w:p>
            <w:pPr>
              <w:spacing w:after="0"/>
              <w:rPr>
                <w:sz w:val="6"/>
                <w:szCs w:val="6"/>
                <w:color w:val="auto"/>
              </w:rPr>
            </w:pPr>
          </w:p>
        </w:tc>
        <w:tc>
          <w:tcPr>
            <w:tcW w:w="18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8"/>
        </w:trPr>
        <w:tc>
          <w:tcPr>
            <w:tcW w:w="1160" w:type="dxa"/>
            <w:vAlign w:val="bottom"/>
            <w:tcBorders>
              <w:left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color w:val="0C0C0C"/>
                <w:w w:val="99"/>
              </w:rPr>
              <w:t>道路交通</w:t>
            </w:r>
          </w:p>
        </w:tc>
        <w:tc>
          <w:tcPr>
            <w:tcW w:w="3540" w:type="dxa"/>
            <w:vAlign w:val="bottom"/>
            <w:tcBorders>
              <w:right w:val="single" w:sz="8" w:color="auto"/>
            </w:tcBorders>
          </w:tcPr>
          <w:p>
            <w:pPr>
              <w:ind w:left="100"/>
              <w:spacing w:after="0" w:line="251" w:lineRule="exact"/>
              <w:rPr>
                <w:sz w:val="20"/>
                <w:szCs w:val="20"/>
                <w:color w:val="auto"/>
              </w:rPr>
            </w:pPr>
            <w:r>
              <w:rPr>
                <w:rFonts w:ascii="宋体" w:cs="宋体" w:eastAsia="宋体" w:hAnsi="宋体"/>
                <w:sz w:val="22"/>
                <w:szCs w:val="22"/>
                <w:color w:val="0C0C0C"/>
              </w:rPr>
              <w:t>道路长度（万公里）</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rPr>
              <w:t>36.5</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w w:val="97"/>
              </w:rPr>
              <w:t>49.3</w:t>
            </w:r>
          </w:p>
        </w:tc>
        <w:tc>
          <w:tcPr>
            <w:tcW w:w="180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w w:val="86"/>
              </w:rPr>
              <w:t>35.1%</w:t>
            </w:r>
          </w:p>
        </w:tc>
        <w:tc>
          <w:tcPr>
            <w:tcW w:w="0" w:type="dxa"/>
            <w:vAlign w:val="bottom"/>
          </w:tcPr>
          <w:p>
            <w:pPr>
              <w:spacing w:after="0"/>
              <w:rPr>
                <w:sz w:val="1"/>
                <w:szCs w:val="1"/>
                <w:color w:val="auto"/>
              </w:rPr>
            </w:pPr>
          </w:p>
        </w:tc>
      </w:tr>
      <w:tr>
        <w:trPr>
          <w:trHeight w:val="69"/>
        </w:trPr>
        <w:tc>
          <w:tcPr>
            <w:tcW w:w="1160" w:type="dxa"/>
            <w:vAlign w:val="bottom"/>
            <w:tcBorders>
              <w:left w:val="single" w:sz="8" w:color="auto"/>
              <w:right w:val="single" w:sz="8" w:color="auto"/>
            </w:tcBorders>
          </w:tcPr>
          <w:p>
            <w:pPr>
              <w:spacing w:after="0"/>
              <w:rPr>
                <w:sz w:val="6"/>
                <w:szCs w:val="6"/>
                <w:color w:val="auto"/>
              </w:rPr>
            </w:pPr>
          </w:p>
        </w:tc>
        <w:tc>
          <w:tcPr>
            <w:tcW w:w="3540" w:type="dxa"/>
            <w:vAlign w:val="bottom"/>
            <w:tcBorders>
              <w:bottom w:val="single" w:sz="8" w:color="auto"/>
              <w:right w:val="single" w:sz="8" w:color="auto"/>
            </w:tcBorders>
          </w:tcPr>
          <w:p>
            <w:pPr>
              <w:spacing w:after="0"/>
              <w:rPr>
                <w:sz w:val="6"/>
                <w:szCs w:val="6"/>
                <w:color w:val="auto"/>
              </w:rPr>
            </w:pPr>
          </w:p>
        </w:tc>
        <w:tc>
          <w:tcPr>
            <w:tcW w:w="1120" w:type="dxa"/>
            <w:vAlign w:val="bottom"/>
            <w:tcBorders>
              <w:bottom w:val="single" w:sz="8" w:color="auto"/>
              <w:right w:val="single" w:sz="8" w:color="auto"/>
            </w:tcBorders>
          </w:tcPr>
          <w:p>
            <w:pPr>
              <w:spacing w:after="0"/>
              <w:rPr>
                <w:sz w:val="6"/>
                <w:szCs w:val="6"/>
                <w:color w:val="auto"/>
              </w:rPr>
            </w:pPr>
          </w:p>
        </w:tc>
        <w:tc>
          <w:tcPr>
            <w:tcW w:w="1120" w:type="dxa"/>
            <w:vAlign w:val="bottom"/>
            <w:tcBorders>
              <w:bottom w:val="single" w:sz="8" w:color="auto"/>
              <w:right w:val="single" w:sz="8" w:color="auto"/>
            </w:tcBorders>
          </w:tcPr>
          <w:p>
            <w:pPr>
              <w:spacing w:after="0"/>
              <w:rPr>
                <w:sz w:val="6"/>
                <w:szCs w:val="6"/>
                <w:color w:val="auto"/>
              </w:rPr>
            </w:pPr>
          </w:p>
        </w:tc>
        <w:tc>
          <w:tcPr>
            <w:tcW w:w="18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8"/>
        </w:trPr>
        <w:tc>
          <w:tcPr>
            <w:tcW w:w="1160" w:type="dxa"/>
            <w:vAlign w:val="bottom"/>
            <w:tcBorders>
              <w:left w:val="single" w:sz="8" w:color="auto"/>
              <w:right w:val="single" w:sz="8" w:color="auto"/>
            </w:tcBorders>
          </w:tcPr>
          <w:p>
            <w:pPr>
              <w:spacing w:after="0"/>
              <w:rPr>
                <w:sz w:val="24"/>
                <w:szCs w:val="24"/>
                <w:color w:val="auto"/>
              </w:rPr>
            </w:pPr>
          </w:p>
        </w:tc>
        <w:tc>
          <w:tcPr>
            <w:tcW w:w="3540" w:type="dxa"/>
            <w:vAlign w:val="bottom"/>
            <w:tcBorders>
              <w:right w:val="single" w:sz="8" w:color="auto"/>
            </w:tcBorders>
          </w:tcPr>
          <w:p>
            <w:pPr>
              <w:ind w:left="100"/>
              <w:spacing w:after="0" w:line="251" w:lineRule="exact"/>
              <w:rPr>
                <w:sz w:val="20"/>
                <w:szCs w:val="20"/>
                <w:color w:val="auto"/>
              </w:rPr>
            </w:pPr>
            <w:r>
              <w:rPr>
                <w:rFonts w:ascii="宋体" w:cs="宋体" w:eastAsia="宋体" w:hAnsi="宋体"/>
                <w:sz w:val="22"/>
                <w:szCs w:val="22"/>
                <w:color w:val="0C0C0C"/>
              </w:rPr>
              <w:t>城市轨道交通运营里程（公里）</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w w:val="89"/>
              </w:rPr>
              <w:t>3000</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w w:val="85"/>
              </w:rPr>
              <w:t>6600</w:t>
            </w:r>
          </w:p>
        </w:tc>
        <w:tc>
          <w:tcPr>
            <w:tcW w:w="180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w w:val="88"/>
              </w:rPr>
              <w:t>120.0%</w:t>
            </w:r>
          </w:p>
        </w:tc>
        <w:tc>
          <w:tcPr>
            <w:tcW w:w="0" w:type="dxa"/>
            <w:vAlign w:val="bottom"/>
          </w:tcPr>
          <w:p>
            <w:pPr>
              <w:spacing w:after="0"/>
              <w:rPr>
                <w:sz w:val="1"/>
                <w:szCs w:val="1"/>
                <w:color w:val="auto"/>
              </w:rPr>
            </w:pPr>
          </w:p>
        </w:tc>
      </w:tr>
      <w:tr>
        <w:trPr>
          <w:trHeight w:val="69"/>
        </w:trPr>
        <w:tc>
          <w:tcPr>
            <w:tcW w:w="1160" w:type="dxa"/>
            <w:vAlign w:val="bottom"/>
            <w:tcBorders>
              <w:left w:val="single" w:sz="8" w:color="auto"/>
              <w:bottom w:val="single" w:sz="8" w:color="auto"/>
              <w:right w:val="single" w:sz="8" w:color="auto"/>
            </w:tcBorders>
          </w:tcPr>
          <w:p>
            <w:pPr>
              <w:spacing w:after="0"/>
              <w:rPr>
                <w:sz w:val="6"/>
                <w:szCs w:val="6"/>
                <w:color w:val="auto"/>
              </w:rPr>
            </w:pPr>
          </w:p>
        </w:tc>
        <w:tc>
          <w:tcPr>
            <w:tcW w:w="3540" w:type="dxa"/>
            <w:vAlign w:val="bottom"/>
            <w:tcBorders>
              <w:bottom w:val="single" w:sz="8" w:color="auto"/>
              <w:right w:val="single" w:sz="8" w:color="auto"/>
            </w:tcBorders>
          </w:tcPr>
          <w:p>
            <w:pPr>
              <w:spacing w:after="0"/>
              <w:rPr>
                <w:sz w:val="6"/>
                <w:szCs w:val="6"/>
                <w:color w:val="auto"/>
              </w:rPr>
            </w:pPr>
          </w:p>
        </w:tc>
        <w:tc>
          <w:tcPr>
            <w:tcW w:w="1120" w:type="dxa"/>
            <w:vAlign w:val="bottom"/>
            <w:tcBorders>
              <w:bottom w:val="single" w:sz="8" w:color="auto"/>
              <w:right w:val="single" w:sz="8" w:color="auto"/>
            </w:tcBorders>
          </w:tcPr>
          <w:p>
            <w:pPr>
              <w:spacing w:after="0"/>
              <w:rPr>
                <w:sz w:val="6"/>
                <w:szCs w:val="6"/>
                <w:color w:val="auto"/>
              </w:rPr>
            </w:pPr>
          </w:p>
        </w:tc>
        <w:tc>
          <w:tcPr>
            <w:tcW w:w="1120" w:type="dxa"/>
            <w:vAlign w:val="bottom"/>
            <w:tcBorders>
              <w:bottom w:val="single" w:sz="8" w:color="auto"/>
              <w:right w:val="single" w:sz="8" w:color="auto"/>
            </w:tcBorders>
          </w:tcPr>
          <w:p>
            <w:pPr>
              <w:spacing w:after="0"/>
              <w:rPr>
                <w:sz w:val="6"/>
                <w:szCs w:val="6"/>
                <w:color w:val="auto"/>
              </w:rPr>
            </w:pPr>
          </w:p>
        </w:tc>
        <w:tc>
          <w:tcPr>
            <w:tcW w:w="18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8"/>
        </w:trPr>
        <w:tc>
          <w:tcPr>
            <w:tcW w:w="1160" w:type="dxa"/>
            <w:vAlign w:val="bottom"/>
            <w:tcBorders>
              <w:left w:val="single" w:sz="8" w:color="auto"/>
              <w:right w:val="single" w:sz="8" w:color="auto"/>
            </w:tcBorders>
          </w:tcPr>
          <w:p>
            <w:pPr>
              <w:spacing w:after="0"/>
              <w:rPr>
                <w:sz w:val="24"/>
                <w:szCs w:val="24"/>
                <w:color w:val="auto"/>
              </w:rPr>
            </w:pPr>
          </w:p>
        </w:tc>
        <w:tc>
          <w:tcPr>
            <w:tcW w:w="3540" w:type="dxa"/>
            <w:vAlign w:val="bottom"/>
            <w:tcBorders>
              <w:right w:val="single" w:sz="8" w:color="auto"/>
            </w:tcBorders>
          </w:tcPr>
          <w:p>
            <w:pPr>
              <w:ind w:left="100"/>
              <w:spacing w:after="0" w:line="267" w:lineRule="exact"/>
              <w:rPr>
                <w:sz w:val="20"/>
                <w:szCs w:val="20"/>
                <w:color w:val="auto"/>
              </w:rPr>
            </w:pPr>
            <w:r>
              <w:rPr>
                <w:rFonts w:ascii="宋体" w:cs="宋体" w:eastAsia="宋体" w:hAnsi="宋体"/>
                <w:sz w:val="22"/>
                <w:szCs w:val="22"/>
                <w:color w:val="0C0C0C"/>
              </w:rPr>
              <w:t>用水普及率（</w:t>
            </w:r>
            <w:r>
              <w:rPr>
                <w:rFonts w:ascii="Arial" w:cs="Arial" w:eastAsia="Arial" w:hAnsi="Arial"/>
                <w:sz w:val="22"/>
                <w:szCs w:val="22"/>
                <w:color w:val="0C0C0C"/>
              </w:rPr>
              <w:t>%</w:t>
            </w:r>
            <w:r>
              <w:rPr>
                <w:rFonts w:ascii="宋体" w:cs="宋体" w:eastAsia="宋体" w:hAnsi="宋体"/>
                <w:sz w:val="22"/>
                <w:szCs w:val="22"/>
                <w:color w:val="0C0C0C"/>
              </w:rPr>
              <w:t>）</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rPr>
              <w:t>98.1</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w w:val="97"/>
              </w:rPr>
              <w:t>99.0</w:t>
            </w:r>
          </w:p>
        </w:tc>
        <w:tc>
          <w:tcPr>
            <w:tcW w:w="1800" w:type="dxa"/>
            <w:vAlign w:val="bottom"/>
            <w:tcBorders>
              <w:right w:val="single" w:sz="8" w:color="auto"/>
            </w:tcBorders>
          </w:tcPr>
          <w:p>
            <w:pPr>
              <w:jc w:val="center"/>
              <w:spacing w:after="0" w:line="267" w:lineRule="exact"/>
              <w:rPr>
                <w:sz w:val="20"/>
                <w:szCs w:val="20"/>
                <w:color w:val="auto"/>
              </w:rPr>
            </w:pPr>
            <w:r>
              <w:rPr>
                <w:rFonts w:ascii="Arial" w:cs="Arial" w:eastAsia="Arial" w:hAnsi="Arial"/>
                <w:sz w:val="22"/>
                <w:szCs w:val="22"/>
                <w:color w:val="0C0C0C"/>
              </w:rPr>
              <w:t xml:space="preserve">0.9 </w:t>
            </w:r>
            <w:r>
              <w:rPr>
                <w:rFonts w:ascii="宋体" w:cs="宋体" w:eastAsia="宋体" w:hAnsi="宋体"/>
                <w:sz w:val="22"/>
                <w:szCs w:val="22"/>
                <w:color w:val="0C0C0C"/>
              </w:rPr>
              <w:t>个百分点</w:t>
            </w:r>
          </w:p>
        </w:tc>
        <w:tc>
          <w:tcPr>
            <w:tcW w:w="0" w:type="dxa"/>
            <w:vAlign w:val="bottom"/>
          </w:tcPr>
          <w:p>
            <w:pPr>
              <w:spacing w:after="0"/>
              <w:rPr>
                <w:sz w:val="1"/>
                <w:szCs w:val="1"/>
                <w:color w:val="auto"/>
              </w:rPr>
            </w:pPr>
          </w:p>
        </w:tc>
      </w:tr>
      <w:tr>
        <w:trPr>
          <w:trHeight w:val="69"/>
        </w:trPr>
        <w:tc>
          <w:tcPr>
            <w:tcW w:w="1160" w:type="dxa"/>
            <w:vAlign w:val="bottom"/>
            <w:tcBorders>
              <w:left w:val="single" w:sz="8" w:color="auto"/>
              <w:right w:val="single" w:sz="8" w:color="auto"/>
            </w:tcBorders>
          </w:tcPr>
          <w:p>
            <w:pPr>
              <w:spacing w:after="0"/>
              <w:rPr>
                <w:sz w:val="6"/>
                <w:szCs w:val="6"/>
                <w:color w:val="auto"/>
              </w:rPr>
            </w:pPr>
          </w:p>
        </w:tc>
        <w:tc>
          <w:tcPr>
            <w:tcW w:w="3540" w:type="dxa"/>
            <w:vAlign w:val="bottom"/>
            <w:tcBorders>
              <w:bottom w:val="single" w:sz="8" w:color="auto"/>
              <w:right w:val="single" w:sz="8" w:color="auto"/>
            </w:tcBorders>
          </w:tcPr>
          <w:p>
            <w:pPr>
              <w:spacing w:after="0"/>
              <w:rPr>
                <w:sz w:val="6"/>
                <w:szCs w:val="6"/>
                <w:color w:val="auto"/>
              </w:rPr>
            </w:pPr>
          </w:p>
        </w:tc>
        <w:tc>
          <w:tcPr>
            <w:tcW w:w="1120" w:type="dxa"/>
            <w:vAlign w:val="bottom"/>
            <w:tcBorders>
              <w:bottom w:val="single" w:sz="8" w:color="auto"/>
              <w:right w:val="single" w:sz="8" w:color="auto"/>
            </w:tcBorders>
          </w:tcPr>
          <w:p>
            <w:pPr>
              <w:spacing w:after="0"/>
              <w:rPr>
                <w:sz w:val="6"/>
                <w:szCs w:val="6"/>
                <w:color w:val="auto"/>
              </w:rPr>
            </w:pPr>
          </w:p>
        </w:tc>
        <w:tc>
          <w:tcPr>
            <w:tcW w:w="1120" w:type="dxa"/>
            <w:vAlign w:val="bottom"/>
            <w:tcBorders>
              <w:bottom w:val="single" w:sz="8" w:color="auto"/>
              <w:right w:val="single" w:sz="8" w:color="auto"/>
            </w:tcBorders>
          </w:tcPr>
          <w:p>
            <w:pPr>
              <w:spacing w:after="0"/>
              <w:rPr>
                <w:sz w:val="6"/>
                <w:szCs w:val="6"/>
                <w:color w:val="auto"/>
              </w:rPr>
            </w:pPr>
          </w:p>
        </w:tc>
        <w:tc>
          <w:tcPr>
            <w:tcW w:w="18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8"/>
        </w:trPr>
        <w:tc>
          <w:tcPr>
            <w:tcW w:w="1160" w:type="dxa"/>
            <w:vAlign w:val="bottom"/>
            <w:tcBorders>
              <w:left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color w:val="0C0C0C"/>
                <w:w w:val="99"/>
              </w:rPr>
              <w:t>供水排水</w:t>
            </w:r>
          </w:p>
        </w:tc>
        <w:tc>
          <w:tcPr>
            <w:tcW w:w="3540" w:type="dxa"/>
            <w:vAlign w:val="bottom"/>
            <w:tcBorders>
              <w:right w:val="single" w:sz="8" w:color="auto"/>
            </w:tcBorders>
          </w:tcPr>
          <w:p>
            <w:pPr>
              <w:ind w:left="100"/>
              <w:spacing w:after="0" w:line="267" w:lineRule="exact"/>
              <w:rPr>
                <w:sz w:val="20"/>
                <w:szCs w:val="20"/>
                <w:color w:val="auto"/>
              </w:rPr>
            </w:pPr>
            <w:r>
              <w:rPr>
                <w:rFonts w:ascii="宋体" w:cs="宋体" w:eastAsia="宋体" w:hAnsi="宋体"/>
                <w:sz w:val="22"/>
                <w:szCs w:val="22"/>
                <w:color w:val="0C0C0C"/>
              </w:rPr>
              <w:t>城市污水处理率（</w:t>
            </w:r>
            <w:r>
              <w:rPr>
                <w:rFonts w:ascii="Arial" w:cs="Arial" w:eastAsia="Arial" w:hAnsi="Arial"/>
                <w:sz w:val="22"/>
                <w:szCs w:val="22"/>
                <w:color w:val="0C0C0C"/>
              </w:rPr>
              <w:t>%</w:t>
            </w:r>
            <w:r>
              <w:rPr>
                <w:rFonts w:ascii="宋体" w:cs="宋体" w:eastAsia="宋体" w:hAnsi="宋体"/>
                <w:sz w:val="22"/>
                <w:szCs w:val="22"/>
                <w:color w:val="0C0C0C"/>
              </w:rPr>
              <w:t>）</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rPr>
              <w:t>91.9</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w w:val="97"/>
              </w:rPr>
              <w:t>97.5</w:t>
            </w:r>
          </w:p>
        </w:tc>
        <w:tc>
          <w:tcPr>
            <w:tcW w:w="1800" w:type="dxa"/>
            <w:vAlign w:val="bottom"/>
            <w:tcBorders>
              <w:right w:val="single" w:sz="8" w:color="auto"/>
            </w:tcBorders>
          </w:tcPr>
          <w:p>
            <w:pPr>
              <w:jc w:val="center"/>
              <w:spacing w:after="0" w:line="267" w:lineRule="exact"/>
              <w:rPr>
                <w:sz w:val="20"/>
                <w:szCs w:val="20"/>
                <w:color w:val="auto"/>
              </w:rPr>
            </w:pPr>
            <w:r>
              <w:rPr>
                <w:rFonts w:ascii="Arial" w:cs="Arial" w:eastAsia="Arial" w:hAnsi="Arial"/>
                <w:sz w:val="22"/>
                <w:szCs w:val="22"/>
                <w:color w:val="0C0C0C"/>
              </w:rPr>
              <w:t xml:space="preserve">5.6 </w:t>
            </w:r>
            <w:r>
              <w:rPr>
                <w:rFonts w:ascii="宋体" w:cs="宋体" w:eastAsia="宋体" w:hAnsi="宋体"/>
                <w:sz w:val="22"/>
                <w:szCs w:val="22"/>
                <w:color w:val="0C0C0C"/>
              </w:rPr>
              <w:t>个百分点</w:t>
            </w:r>
          </w:p>
        </w:tc>
        <w:tc>
          <w:tcPr>
            <w:tcW w:w="0" w:type="dxa"/>
            <w:vAlign w:val="bottom"/>
          </w:tcPr>
          <w:p>
            <w:pPr>
              <w:spacing w:after="0"/>
              <w:rPr>
                <w:sz w:val="1"/>
                <w:szCs w:val="1"/>
                <w:color w:val="auto"/>
              </w:rPr>
            </w:pPr>
          </w:p>
        </w:tc>
      </w:tr>
      <w:tr>
        <w:trPr>
          <w:trHeight w:val="69"/>
        </w:trPr>
        <w:tc>
          <w:tcPr>
            <w:tcW w:w="1160" w:type="dxa"/>
            <w:vAlign w:val="bottom"/>
            <w:tcBorders>
              <w:left w:val="single" w:sz="8" w:color="auto"/>
              <w:right w:val="single" w:sz="8" w:color="auto"/>
            </w:tcBorders>
          </w:tcPr>
          <w:p>
            <w:pPr>
              <w:spacing w:after="0"/>
              <w:rPr>
                <w:sz w:val="5"/>
                <w:szCs w:val="5"/>
                <w:color w:val="auto"/>
              </w:rPr>
            </w:pPr>
          </w:p>
        </w:tc>
        <w:tc>
          <w:tcPr>
            <w:tcW w:w="354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8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8"/>
        </w:trPr>
        <w:tc>
          <w:tcPr>
            <w:tcW w:w="1160" w:type="dxa"/>
            <w:vAlign w:val="bottom"/>
            <w:tcBorders>
              <w:left w:val="single" w:sz="8" w:color="auto"/>
              <w:right w:val="single" w:sz="8" w:color="auto"/>
            </w:tcBorders>
          </w:tcPr>
          <w:p>
            <w:pPr>
              <w:spacing w:after="0"/>
              <w:rPr>
                <w:sz w:val="24"/>
                <w:szCs w:val="24"/>
                <w:color w:val="auto"/>
              </w:rPr>
            </w:pPr>
          </w:p>
        </w:tc>
        <w:tc>
          <w:tcPr>
            <w:tcW w:w="3540" w:type="dxa"/>
            <w:vAlign w:val="bottom"/>
            <w:tcBorders>
              <w:right w:val="single" w:sz="8" w:color="auto"/>
            </w:tcBorders>
          </w:tcPr>
          <w:p>
            <w:pPr>
              <w:ind w:left="100"/>
              <w:spacing w:after="0" w:line="267" w:lineRule="exact"/>
              <w:rPr>
                <w:sz w:val="20"/>
                <w:szCs w:val="20"/>
                <w:color w:val="auto"/>
              </w:rPr>
            </w:pPr>
            <w:r>
              <w:rPr>
                <w:rFonts w:ascii="宋体" w:cs="宋体" w:eastAsia="宋体" w:hAnsi="宋体"/>
                <w:sz w:val="22"/>
                <w:szCs w:val="22"/>
                <w:color w:val="0C0C0C"/>
              </w:rPr>
              <w:t>污水集中处理能力（亿立方米</w:t>
            </w:r>
            <w:r>
              <w:rPr>
                <w:rFonts w:ascii="Arial" w:cs="Arial" w:eastAsia="Arial" w:hAnsi="Arial"/>
                <w:sz w:val="22"/>
                <w:szCs w:val="22"/>
                <w:color w:val="0C0C0C"/>
              </w:rPr>
              <w:t>/</w:t>
            </w:r>
            <w:r>
              <w:rPr>
                <w:rFonts w:ascii="宋体" w:cs="宋体" w:eastAsia="宋体" w:hAnsi="宋体"/>
                <w:sz w:val="22"/>
                <w:szCs w:val="22"/>
                <w:color w:val="0C0C0C"/>
              </w:rPr>
              <w:t>日）</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rPr>
              <w:t>1.4</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rPr>
              <w:t>1.9</w:t>
            </w:r>
          </w:p>
        </w:tc>
        <w:tc>
          <w:tcPr>
            <w:tcW w:w="180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w w:val="86"/>
              </w:rPr>
              <w:t>35.7%</w:t>
            </w:r>
          </w:p>
        </w:tc>
        <w:tc>
          <w:tcPr>
            <w:tcW w:w="0" w:type="dxa"/>
            <w:vAlign w:val="bottom"/>
          </w:tcPr>
          <w:p>
            <w:pPr>
              <w:spacing w:after="0"/>
              <w:rPr>
                <w:sz w:val="1"/>
                <w:szCs w:val="1"/>
                <w:color w:val="auto"/>
              </w:rPr>
            </w:pPr>
          </w:p>
        </w:tc>
      </w:tr>
      <w:tr>
        <w:trPr>
          <w:trHeight w:val="69"/>
        </w:trPr>
        <w:tc>
          <w:tcPr>
            <w:tcW w:w="1160" w:type="dxa"/>
            <w:vAlign w:val="bottom"/>
            <w:tcBorders>
              <w:left w:val="single" w:sz="8" w:color="auto"/>
              <w:bottom w:val="single" w:sz="8" w:color="auto"/>
              <w:right w:val="single" w:sz="8" w:color="auto"/>
            </w:tcBorders>
          </w:tcPr>
          <w:p>
            <w:pPr>
              <w:spacing w:after="0"/>
              <w:rPr>
                <w:sz w:val="5"/>
                <w:szCs w:val="5"/>
                <w:color w:val="auto"/>
              </w:rPr>
            </w:pPr>
          </w:p>
        </w:tc>
        <w:tc>
          <w:tcPr>
            <w:tcW w:w="354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8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9"/>
        </w:trPr>
        <w:tc>
          <w:tcPr>
            <w:tcW w:w="1160" w:type="dxa"/>
            <w:vAlign w:val="bottom"/>
            <w:tcBorders>
              <w:left w:val="single" w:sz="8" w:color="auto"/>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0C0C0C"/>
                <w:w w:val="99"/>
              </w:rPr>
              <w:t>燃气供热</w:t>
            </w:r>
          </w:p>
        </w:tc>
        <w:tc>
          <w:tcPr>
            <w:tcW w:w="3540" w:type="dxa"/>
            <w:vAlign w:val="bottom"/>
            <w:tcBorders>
              <w:right w:val="single" w:sz="8" w:color="auto"/>
            </w:tcBorders>
          </w:tcPr>
          <w:p>
            <w:pPr>
              <w:ind w:left="100"/>
              <w:spacing w:after="0" w:line="267" w:lineRule="exact"/>
              <w:rPr>
                <w:sz w:val="20"/>
                <w:szCs w:val="20"/>
                <w:color w:val="auto"/>
              </w:rPr>
            </w:pPr>
            <w:r>
              <w:rPr>
                <w:rFonts w:ascii="宋体" w:cs="宋体" w:eastAsia="宋体" w:hAnsi="宋体"/>
                <w:sz w:val="22"/>
                <w:szCs w:val="22"/>
                <w:color w:val="0C0C0C"/>
              </w:rPr>
              <w:t>城市燃气普及率（</w:t>
            </w:r>
            <w:r>
              <w:rPr>
                <w:rFonts w:ascii="Arial" w:cs="Arial" w:eastAsia="Arial" w:hAnsi="Arial"/>
                <w:sz w:val="22"/>
                <w:szCs w:val="22"/>
                <w:color w:val="0C0C0C"/>
              </w:rPr>
              <w:t>%</w:t>
            </w:r>
            <w:r>
              <w:rPr>
                <w:rFonts w:ascii="宋体" w:cs="宋体" w:eastAsia="宋体" w:hAnsi="宋体"/>
                <w:sz w:val="22"/>
                <w:szCs w:val="22"/>
                <w:color w:val="0C0C0C"/>
              </w:rPr>
              <w:t>）</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rPr>
              <w:t>95.3</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w w:val="97"/>
              </w:rPr>
              <w:t>97.9</w:t>
            </w:r>
          </w:p>
        </w:tc>
        <w:tc>
          <w:tcPr>
            <w:tcW w:w="1800" w:type="dxa"/>
            <w:vAlign w:val="bottom"/>
            <w:tcBorders>
              <w:right w:val="single" w:sz="8" w:color="auto"/>
            </w:tcBorders>
          </w:tcPr>
          <w:p>
            <w:pPr>
              <w:jc w:val="center"/>
              <w:spacing w:after="0" w:line="267" w:lineRule="exact"/>
              <w:rPr>
                <w:sz w:val="20"/>
                <w:szCs w:val="20"/>
                <w:color w:val="auto"/>
              </w:rPr>
            </w:pPr>
            <w:r>
              <w:rPr>
                <w:rFonts w:ascii="Arial" w:cs="Arial" w:eastAsia="Arial" w:hAnsi="Arial"/>
                <w:sz w:val="22"/>
                <w:szCs w:val="22"/>
                <w:color w:val="0C0C0C"/>
              </w:rPr>
              <w:t xml:space="preserve">2.6 </w:t>
            </w:r>
            <w:r>
              <w:rPr>
                <w:rFonts w:ascii="宋体" w:cs="宋体" w:eastAsia="宋体" w:hAnsi="宋体"/>
                <w:sz w:val="22"/>
                <w:szCs w:val="22"/>
                <w:color w:val="0C0C0C"/>
              </w:rPr>
              <w:t>个百分点</w:t>
            </w:r>
          </w:p>
        </w:tc>
        <w:tc>
          <w:tcPr>
            <w:tcW w:w="0" w:type="dxa"/>
            <w:vAlign w:val="bottom"/>
          </w:tcPr>
          <w:p>
            <w:pPr>
              <w:spacing w:after="0"/>
              <w:rPr>
                <w:sz w:val="1"/>
                <w:szCs w:val="1"/>
                <w:color w:val="auto"/>
              </w:rPr>
            </w:pPr>
          </w:p>
        </w:tc>
      </w:tr>
      <w:tr>
        <w:trPr>
          <w:trHeight w:val="68"/>
        </w:trPr>
        <w:tc>
          <w:tcPr>
            <w:tcW w:w="1160" w:type="dxa"/>
            <w:vAlign w:val="bottom"/>
            <w:tcBorders>
              <w:left w:val="single" w:sz="8" w:color="auto"/>
              <w:right w:val="single" w:sz="8" w:color="auto"/>
            </w:tcBorders>
            <w:vMerge w:val="continue"/>
          </w:tcPr>
          <w:p>
            <w:pPr>
              <w:spacing w:after="0"/>
              <w:rPr>
                <w:sz w:val="5"/>
                <w:szCs w:val="5"/>
                <w:color w:val="auto"/>
              </w:rPr>
            </w:pPr>
          </w:p>
        </w:tc>
        <w:tc>
          <w:tcPr>
            <w:tcW w:w="354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8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94"/>
        </w:trPr>
        <w:tc>
          <w:tcPr>
            <w:tcW w:w="1160" w:type="dxa"/>
            <w:vAlign w:val="bottom"/>
            <w:tcBorders>
              <w:left w:val="single" w:sz="8" w:color="auto"/>
              <w:right w:val="single" w:sz="8" w:color="auto"/>
            </w:tcBorders>
            <w:vMerge w:val="continue"/>
          </w:tcPr>
          <w:p>
            <w:pPr>
              <w:spacing w:after="0"/>
              <w:rPr>
                <w:sz w:val="8"/>
                <w:szCs w:val="8"/>
                <w:color w:val="auto"/>
              </w:rPr>
            </w:pPr>
          </w:p>
        </w:tc>
        <w:tc>
          <w:tcPr>
            <w:tcW w:w="3540" w:type="dxa"/>
            <w:vAlign w:val="bottom"/>
            <w:tcBorders>
              <w:right w:val="single" w:sz="8" w:color="auto"/>
            </w:tcBorders>
            <w:vMerge w:val="restart"/>
          </w:tcPr>
          <w:p>
            <w:pPr>
              <w:ind w:left="100"/>
              <w:spacing w:after="0" w:line="251" w:lineRule="exact"/>
              <w:rPr>
                <w:sz w:val="20"/>
                <w:szCs w:val="20"/>
                <w:color w:val="auto"/>
              </w:rPr>
            </w:pPr>
            <w:r>
              <w:rPr>
                <w:rFonts w:ascii="宋体" w:cs="宋体" w:eastAsia="宋体" w:hAnsi="宋体"/>
                <w:sz w:val="22"/>
                <w:szCs w:val="22"/>
                <w:color w:val="0C0C0C"/>
              </w:rPr>
              <w:t>城市集中供热面积（亿平方米）</w:t>
            </w:r>
          </w:p>
        </w:tc>
        <w:tc>
          <w:tcPr>
            <w:tcW w:w="11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2"/>
                <w:szCs w:val="22"/>
                <w:color w:val="0C0C0C"/>
              </w:rPr>
              <w:t>67.2</w:t>
            </w:r>
          </w:p>
        </w:tc>
        <w:tc>
          <w:tcPr>
            <w:tcW w:w="11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2"/>
                <w:szCs w:val="22"/>
                <w:color w:val="0C0C0C"/>
                <w:w w:val="97"/>
              </w:rPr>
              <w:t>98.8</w:t>
            </w:r>
          </w:p>
        </w:tc>
        <w:tc>
          <w:tcPr>
            <w:tcW w:w="18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2"/>
                <w:szCs w:val="22"/>
                <w:color w:val="0C0C0C"/>
                <w:w w:val="86"/>
              </w:rPr>
              <w:t>47.0%</w:t>
            </w:r>
          </w:p>
        </w:tc>
        <w:tc>
          <w:tcPr>
            <w:tcW w:w="0" w:type="dxa"/>
            <w:vAlign w:val="bottom"/>
          </w:tcPr>
          <w:p>
            <w:pPr>
              <w:spacing w:after="0"/>
              <w:rPr>
                <w:sz w:val="1"/>
                <w:szCs w:val="1"/>
                <w:color w:val="auto"/>
              </w:rPr>
            </w:pPr>
          </w:p>
        </w:tc>
      </w:tr>
      <w:tr>
        <w:trPr>
          <w:trHeight w:val="185"/>
        </w:trPr>
        <w:tc>
          <w:tcPr>
            <w:tcW w:w="1160" w:type="dxa"/>
            <w:vAlign w:val="bottom"/>
            <w:tcBorders>
              <w:left w:val="single" w:sz="8" w:color="auto"/>
              <w:right w:val="single" w:sz="8" w:color="auto"/>
            </w:tcBorders>
          </w:tcPr>
          <w:p>
            <w:pPr>
              <w:spacing w:after="0"/>
              <w:rPr>
                <w:sz w:val="16"/>
                <w:szCs w:val="16"/>
                <w:color w:val="auto"/>
              </w:rPr>
            </w:pPr>
          </w:p>
        </w:tc>
        <w:tc>
          <w:tcPr>
            <w:tcW w:w="3540" w:type="dxa"/>
            <w:vAlign w:val="bottom"/>
            <w:tcBorders>
              <w:right w:val="single" w:sz="8" w:color="auto"/>
            </w:tcBorders>
            <w:vMerge w:val="continue"/>
          </w:tcPr>
          <w:p>
            <w:pPr>
              <w:spacing w:after="0"/>
              <w:rPr>
                <w:sz w:val="16"/>
                <w:szCs w:val="16"/>
                <w:color w:val="auto"/>
              </w:rPr>
            </w:pPr>
          </w:p>
        </w:tc>
        <w:tc>
          <w:tcPr>
            <w:tcW w:w="1120" w:type="dxa"/>
            <w:vAlign w:val="bottom"/>
            <w:tcBorders>
              <w:right w:val="single" w:sz="8" w:color="auto"/>
            </w:tcBorders>
            <w:vMerge w:val="continue"/>
          </w:tcPr>
          <w:p>
            <w:pPr>
              <w:spacing w:after="0"/>
              <w:rPr>
                <w:sz w:val="16"/>
                <w:szCs w:val="16"/>
                <w:color w:val="auto"/>
              </w:rPr>
            </w:pPr>
          </w:p>
        </w:tc>
        <w:tc>
          <w:tcPr>
            <w:tcW w:w="1120" w:type="dxa"/>
            <w:vAlign w:val="bottom"/>
            <w:tcBorders>
              <w:right w:val="single" w:sz="8" w:color="auto"/>
            </w:tcBorders>
            <w:vMerge w:val="continue"/>
          </w:tcPr>
          <w:p>
            <w:pPr>
              <w:spacing w:after="0"/>
              <w:rPr>
                <w:sz w:val="16"/>
                <w:szCs w:val="16"/>
                <w:color w:val="auto"/>
              </w:rPr>
            </w:pPr>
          </w:p>
        </w:tc>
        <w:tc>
          <w:tcPr>
            <w:tcW w:w="180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1160" w:type="dxa"/>
            <w:vAlign w:val="bottom"/>
            <w:tcBorders>
              <w:left w:val="single" w:sz="8" w:color="auto"/>
              <w:bottom w:val="single" w:sz="8" w:color="auto"/>
              <w:right w:val="single" w:sz="8" w:color="auto"/>
            </w:tcBorders>
          </w:tcPr>
          <w:p>
            <w:pPr>
              <w:spacing w:after="0"/>
              <w:rPr>
                <w:sz w:val="5"/>
                <w:szCs w:val="5"/>
                <w:color w:val="auto"/>
              </w:rPr>
            </w:pPr>
          </w:p>
        </w:tc>
        <w:tc>
          <w:tcPr>
            <w:tcW w:w="354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8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9"/>
        </w:trPr>
        <w:tc>
          <w:tcPr>
            <w:tcW w:w="1160" w:type="dxa"/>
            <w:vAlign w:val="bottom"/>
            <w:tcBorders>
              <w:left w:val="single" w:sz="8" w:color="auto"/>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0C0C0C"/>
                <w:w w:val="99"/>
              </w:rPr>
              <w:t>垃圾处理</w:t>
            </w:r>
          </w:p>
        </w:tc>
        <w:tc>
          <w:tcPr>
            <w:tcW w:w="3540" w:type="dxa"/>
            <w:vAlign w:val="bottom"/>
            <w:tcBorders>
              <w:right w:val="single" w:sz="8" w:color="auto"/>
            </w:tcBorders>
          </w:tcPr>
          <w:p>
            <w:pPr>
              <w:ind w:left="100"/>
              <w:spacing w:after="0" w:line="267" w:lineRule="exact"/>
              <w:rPr>
                <w:sz w:val="20"/>
                <w:szCs w:val="20"/>
                <w:color w:val="auto"/>
              </w:rPr>
            </w:pPr>
            <w:r>
              <w:rPr>
                <w:rFonts w:ascii="宋体" w:cs="宋体" w:eastAsia="宋体" w:hAnsi="宋体"/>
                <w:sz w:val="22"/>
                <w:szCs w:val="22"/>
                <w:color w:val="0C0C0C"/>
              </w:rPr>
              <w:t>生活垃圾无害化处理率（</w:t>
            </w:r>
            <w:r>
              <w:rPr>
                <w:rFonts w:ascii="Arial" w:cs="Arial" w:eastAsia="Arial" w:hAnsi="Arial"/>
                <w:sz w:val="22"/>
                <w:szCs w:val="22"/>
                <w:color w:val="0C0C0C"/>
              </w:rPr>
              <w:t>%</w:t>
            </w:r>
            <w:r>
              <w:rPr>
                <w:rFonts w:ascii="宋体" w:cs="宋体" w:eastAsia="宋体" w:hAnsi="宋体"/>
                <w:sz w:val="22"/>
                <w:szCs w:val="22"/>
                <w:color w:val="0C0C0C"/>
              </w:rPr>
              <w:t>）</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rPr>
              <w:t>94.1</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w w:val="97"/>
              </w:rPr>
              <w:t>99.7</w:t>
            </w:r>
          </w:p>
        </w:tc>
        <w:tc>
          <w:tcPr>
            <w:tcW w:w="1800" w:type="dxa"/>
            <w:vAlign w:val="bottom"/>
            <w:tcBorders>
              <w:right w:val="single" w:sz="8" w:color="auto"/>
            </w:tcBorders>
          </w:tcPr>
          <w:p>
            <w:pPr>
              <w:jc w:val="center"/>
              <w:spacing w:after="0" w:line="267" w:lineRule="exact"/>
              <w:rPr>
                <w:sz w:val="20"/>
                <w:szCs w:val="20"/>
                <w:color w:val="auto"/>
              </w:rPr>
            </w:pPr>
            <w:r>
              <w:rPr>
                <w:rFonts w:ascii="Arial" w:cs="Arial" w:eastAsia="Arial" w:hAnsi="Arial"/>
                <w:sz w:val="22"/>
                <w:szCs w:val="22"/>
                <w:color w:val="0C0C0C"/>
              </w:rPr>
              <w:t xml:space="preserve">5.6 </w:t>
            </w:r>
            <w:r>
              <w:rPr>
                <w:rFonts w:ascii="宋体" w:cs="宋体" w:eastAsia="宋体" w:hAnsi="宋体"/>
                <w:sz w:val="22"/>
                <w:szCs w:val="22"/>
                <w:color w:val="0C0C0C"/>
              </w:rPr>
              <w:t>个百分点</w:t>
            </w:r>
          </w:p>
        </w:tc>
        <w:tc>
          <w:tcPr>
            <w:tcW w:w="0" w:type="dxa"/>
            <w:vAlign w:val="bottom"/>
          </w:tcPr>
          <w:p>
            <w:pPr>
              <w:spacing w:after="0"/>
              <w:rPr>
                <w:sz w:val="1"/>
                <w:szCs w:val="1"/>
                <w:color w:val="auto"/>
              </w:rPr>
            </w:pPr>
          </w:p>
        </w:tc>
      </w:tr>
      <w:tr>
        <w:trPr>
          <w:trHeight w:val="68"/>
        </w:trPr>
        <w:tc>
          <w:tcPr>
            <w:tcW w:w="1160" w:type="dxa"/>
            <w:vAlign w:val="bottom"/>
            <w:tcBorders>
              <w:left w:val="single" w:sz="8" w:color="auto"/>
              <w:right w:val="single" w:sz="8" w:color="auto"/>
            </w:tcBorders>
            <w:vMerge w:val="continue"/>
          </w:tcPr>
          <w:p>
            <w:pPr>
              <w:spacing w:after="0"/>
              <w:rPr>
                <w:sz w:val="5"/>
                <w:szCs w:val="5"/>
                <w:color w:val="auto"/>
              </w:rPr>
            </w:pPr>
          </w:p>
        </w:tc>
        <w:tc>
          <w:tcPr>
            <w:tcW w:w="354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8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94"/>
        </w:trPr>
        <w:tc>
          <w:tcPr>
            <w:tcW w:w="1160" w:type="dxa"/>
            <w:vAlign w:val="bottom"/>
            <w:tcBorders>
              <w:left w:val="single" w:sz="8" w:color="auto"/>
              <w:right w:val="single" w:sz="8" w:color="auto"/>
            </w:tcBorders>
            <w:vMerge w:val="continue"/>
          </w:tcPr>
          <w:p>
            <w:pPr>
              <w:spacing w:after="0"/>
              <w:rPr>
                <w:sz w:val="8"/>
                <w:szCs w:val="8"/>
                <w:color w:val="auto"/>
              </w:rPr>
            </w:pPr>
          </w:p>
        </w:tc>
        <w:tc>
          <w:tcPr>
            <w:tcW w:w="3540" w:type="dxa"/>
            <w:vAlign w:val="bottom"/>
            <w:tcBorders>
              <w:right w:val="single" w:sz="8" w:color="auto"/>
            </w:tcBorders>
            <w:vMerge w:val="restart"/>
          </w:tcPr>
          <w:p>
            <w:pPr>
              <w:ind w:left="100"/>
              <w:spacing w:after="0" w:line="267" w:lineRule="exact"/>
              <w:rPr>
                <w:sz w:val="20"/>
                <w:szCs w:val="20"/>
                <w:color w:val="auto"/>
              </w:rPr>
            </w:pPr>
            <w:r>
              <w:rPr>
                <w:rFonts w:ascii="宋体" w:cs="宋体" w:eastAsia="宋体" w:hAnsi="宋体"/>
                <w:sz w:val="22"/>
                <w:szCs w:val="22"/>
                <w:color w:val="0C0C0C"/>
              </w:rPr>
              <w:t>生活垃圾焚烧处理能力占比（</w:t>
            </w:r>
            <w:r>
              <w:rPr>
                <w:rFonts w:ascii="Arial" w:cs="Arial" w:eastAsia="Arial" w:hAnsi="Arial"/>
                <w:sz w:val="22"/>
                <w:szCs w:val="22"/>
                <w:color w:val="0C0C0C"/>
              </w:rPr>
              <w:t>%</w:t>
            </w:r>
            <w:r>
              <w:rPr>
                <w:rFonts w:ascii="宋体" w:cs="宋体" w:eastAsia="宋体" w:hAnsi="宋体"/>
                <w:sz w:val="22"/>
                <w:szCs w:val="22"/>
                <w:color w:val="0C0C0C"/>
              </w:rPr>
              <w:t>）</w:t>
            </w:r>
          </w:p>
        </w:tc>
        <w:tc>
          <w:tcPr>
            <w:tcW w:w="11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2"/>
                <w:szCs w:val="22"/>
                <w:color w:val="0C0C0C"/>
              </w:rPr>
              <w:t>38.0</w:t>
            </w:r>
          </w:p>
        </w:tc>
        <w:tc>
          <w:tcPr>
            <w:tcW w:w="11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2"/>
                <w:szCs w:val="22"/>
                <w:color w:val="0C0C0C"/>
                <w:w w:val="97"/>
              </w:rPr>
              <w:t>58.9</w:t>
            </w:r>
          </w:p>
        </w:tc>
        <w:tc>
          <w:tcPr>
            <w:tcW w:w="1800" w:type="dxa"/>
            <w:vAlign w:val="bottom"/>
            <w:tcBorders>
              <w:right w:val="single" w:sz="8" w:color="auto"/>
            </w:tcBorders>
            <w:vMerge w:val="restart"/>
          </w:tcPr>
          <w:p>
            <w:pPr>
              <w:jc w:val="center"/>
              <w:spacing w:after="0" w:line="267" w:lineRule="exact"/>
              <w:rPr>
                <w:sz w:val="20"/>
                <w:szCs w:val="20"/>
                <w:color w:val="auto"/>
              </w:rPr>
            </w:pPr>
            <w:r>
              <w:rPr>
                <w:rFonts w:ascii="Arial" w:cs="Arial" w:eastAsia="Arial" w:hAnsi="Arial"/>
                <w:sz w:val="22"/>
                <w:szCs w:val="22"/>
                <w:color w:val="0C0C0C"/>
              </w:rPr>
              <w:t xml:space="preserve">20.9 </w:t>
            </w:r>
            <w:r>
              <w:rPr>
                <w:rFonts w:ascii="宋体" w:cs="宋体" w:eastAsia="宋体" w:hAnsi="宋体"/>
                <w:sz w:val="22"/>
                <w:szCs w:val="22"/>
                <w:color w:val="0C0C0C"/>
              </w:rPr>
              <w:t>个百分点</w:t>
            </w:r>
          </w:p>
        </w:tc>
        <w:tc>
          <w:tcPr>
            <w:tcW w:w="0" w:type="dxa"/>
            <w:vAlign w:val="bottom"/>
          </w:tcPr>
          <w:p>
            <w:pPr>
              <w:spacing w:after="0"/>
              <w:rPr>
                <w:sz w:val="1"/>
                <w:szCs w:val="1"/>
                <w:color w:val="auto"/>
              </w:rPr>
            </w:pPr>
          </w:p>
        </w:tc>
      </w:tr>
      <w:tr>
        <w:trPr>
          <w:trHeight w:val="182"/>
        </w:trPr>
        <w:tc>
          <w:tcPr>
            <w:tcW w:w="1160" w:type="dxa"/>
            <w:vAlign w:val="bottom"/>
            <w:tcBorders>
              <w:left w:val="single" w:sz="8" w:color="auto"/>
              <w:right w:val="single" w:sz="8" w:color="auto"/>
            </w:tcBorders>
          </w:tcPr>
          <w:p>
            <w:pPr>
              <w:spacing w:after="0"/>
              <w:rPr>
                <w:sz w:val="15"/>
                <w:szCs w:val="15"/>
                <w:color w:val="auto"/>
              </w:rPr>
            </w:pPr>
          </w:p>
        </w:tc>
        <w:tc>
          <w:tcPr>
            <w:tcW w:w="3540" w:type="dxa"/>
            <w:vAlign w:val="bottom"/>
            <w:tcBorders>
              <w:right w:val="single" w:sz="8" w:color="auto"/>
            </w:tcBorders>
            <w:vMerge w:val="continue"/>
          </w:tcPr>
          <w:p>
            <w:pPr>
              <w:spacing w:after="0"/>
              <w:rPr>
                <w:sz w:val="15"/>
                <w:szCs w:val="15"/>
                <w:color w:val="auto"/>
              </w:rPr>
            </w:pPr>
          </w:p>
        </w:tc>
        <w:tc>
          <w:tcPr>
            <w:tcW w:w="1120" w:type="dxa"/>
            <w:vAlign w:val="bottom"/>
            <w:tcBorders>
              <w:right w:val="single" w:sz="8" w:color="auto"/>
            </w:tcBorders>
            <w:vMerge w:val="continue"/>
          </w:tcPr>
          <w:p>
            <w:pPr>
              <w:spacing w:after="0"/>
              <w:rPr>
                <w:sz w:val="15"/>
                <w:szCs w:val="15"/>
                <w:color w:val="auto"/>
              </w:rPr>
            </w:pPr>
          </w:p>
        </w:tc>
        <w:tc>
          <w:tcPr>
            <w:tcW w:w="1120" w:type="dxa"/>
            <w:vAlign w:val="bottom"/>
            <w:tcBorders>
              <w:right w:val="single" w:sz="8" w:color="auto"/>
            </w:tcBorders>
            <w:vMerge w:val="continue"/>
          </w:tcPr>
          <w:p>
            <w:pPr>
              <w:spacing w:after="0"/>
              <w:rPr>
                <w:sz w:val="15"/>
                <w:szCs w:val="15"/>
                <w:color w:val="auto"/>
              </w:rPr>
            </w:pPr>
          </w:p>
        </w:tc>
        <w:tc>
          <w:tcPr>
            <w:tcW w:w="180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70"/>
        </w:trPr>
        <w:tc>
          <w:tcPr>
            <w:tcW w:w="1160" w:type="dxa"/>
            <w:vAlign w:val="bottom"/>
            <w:tcBorders>
              <w:left w:val="single" w:sz="8" w:color="auto"/>
              <w:bottom w:val="single" w:sz="8" w:color="auto"/>
              <w:right w:val="single" w:sz="8" w:color="auto"/>
            </w:tcBorders>
          </w:tcPr>
          <w:p>
            <w:pPr>
              <w:spacing w:after="0"/>
              <w:rPr>
                <w:sz w:val="6"/>
                <w:szCs w:val="6"/>
                <w:color w:val="auto"/>
              </w:rPr>
            </w:pPr>
          </w:p>
        </w:tc>
        <w:tc>
          <w:tcPr>
            <w:tcW w:w="3540" w:type="dxa"/>
            <w:vAlign w:val="bottom"/>
            <w:tcBorders>
              <w:bottom w:val="single" w:sz="8" w:color="auto"/>
              <w:right w:val="single" w:sz="8" w:color="auto"/>
            </w:tcBorders>
          </w:tcPr>
          <w:p>
            <w:pPr>
              <w:spacing w:after="0"/>
              <w:rPr>
                <w:sz w:val="6"/>
                <w:szCs w:val="6"/>
                <w:color w:val="auto"/>
              </w:rPr>
            </w:pPr>
          </w:p>
        </w:tc>
        <w:tc>
          <w:tcPr>
            <w:tcW w:w="1120" w:type="dxa"/>
            <w:vAlign w:val="bottom"/>
            <w:tcBorders>
              <w:bottom w:val="single" w:sz="8" w:color="auto"/>
              <w:right w:val="single" w:sz="8" w:color="auto"/>
            </w:tcBorders>
          </w:tcPr>
          <w:p>
            <w:pPr>
              <w:spacing w:after="0"/>
              <w:rPr>
                <w:sz w:val="6"/>
                <w:szCs w:val="6"/>
                <w:color w:val="auto"/>
              </w:rPr>
            </w:pPr>
          </w:p>
        </w:tc>
        <w:tc>
          <w:tcPr>
            <w:tcW w:w="1120" w:type="dxa"/>
            <w:vAlign w:val="bottom"/>
            <w:tcBorders>
              <w:bottom w:val="single" w:sz="8" w:color="auto"/>
              <w:right w:val="single" w:sz="8" w:color="auto"/>
            </w:tcBorders>
          </w:tcPr>
          <w:p>
            <w:pPr>
              <w:spacing w:after="0"/>
              <w:rPr>
                <w:sz w:val="6"/>
                <w:szCs w:val="6"/>
                <w:color w:val="auto"/>
              </w:rPr>
            </w:pPr>
          </w:p>
        </w:tc>
        <w:tc>
          <w:tcPr>
            <w:tcW w:w="18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7"/>
        </w:trPr>
        <w:tc>
          <w:tcPr>
            <w:tcW w:w="1160" w:type="dxa"/>
            <w:vAlign w:val="bottom"/>
            <w:tcBorders>
              <w:left w:val="single" w:sz="8" w:color="auto"/>
              <w:right w:val="single" w:sz="8" w:color="auto"/>
            </w:tcBorders>
          </w:tcPr>
          <w:p>
            <w:pPr>
              <w:spacing w:after="0"/>
              <w:rPr>
                <w:sz w:val="24"/>
                <w:szCs w:val="24"/>
                <w:color w:val="auto"/>
              </w:rPr>
            </w:pPr>
          </w:p>
        </w:tc>
        <w:tc>
          <w:tcPr>
            <w:tcW w:w="3540" w:type="dxa"/>
            <w:vAlign w:val="bottom"/>
            <w:tcBorders>
              <w:right w:val="single" w:sz="8" w:color="auto"/>
            </w:tcBorders>
          </w:tcPr>
          <w:p>
            <w:pPr>
              <w:ind w:left="100"/>
              <w:spacing w:after="0" w:line="251" w:lineRule="exact"/>
              <w:rPr>
                <w:sz w:val="20"/>
                <w:szCs w:val="20"/>
                <w:color w:val="auto"/>
              </w:rPr>
            </w:pPr>
            <w:r>
              <w:rPr>
                <w:rFonts w:ascii="宋体" w:cs="宋体" w:eastAsia="宋体" w:hAnsi="宋体"/>
                <w:sz w:val="22"/>
                <w:szCs w:val="22"/>
                <w:color w:val="0C0C0C"/>
              </w:rPr>
              <w:t>建成区绿地面积（万公顷）</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w w:val="97"/>
              </w:rPr>
              <w:t>190.8</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w w:val="97"/>
              </w:rPr>
              <w:t>239.8</w:t>
            </w:r>
          </w:p>
        </w:tc>
        <w:tc>
          <w:tcPr>
            <w:tcW w:w="180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w w:val="86"/>
              </w:rPr>
              <w:t>25.7%</w:t>
            </w:r>
          </w:p>
        </w:tc>
        <w:tc>
          <w:tcPr>
            <w:tcW w:w="0" w:type="dxa"/>
            <w:vAlign w:val="bottom"/>
          </w:tcPr>
          <w:p>
            <w:pPr>
              <w:spacing w:after="0"/>
              <w:rPr>
                <w:sz w:val="1"/>
                <w:szCs w:val="1"/>
                <w:color w:val="auto"/>
              </w:rPr>
            </w:pPr>
          </w:p>
        </w:tc>
      </w:tr>
      <w:tr>
        <w:trPr>
          <w:trHeight w:val="70"/>
        </w:trPr>
        <w:tc>
          <w:tcPr>
            <w:tcW w:w="1160" w:type="dxa"/>
            <w:vAlign w:val="bottom"/>
            <w:tcBorders>
              <w:left w:val="single" w:sz="8" w:color="auto"/>
              <w:right w:val="single" w:sz="8" w:color="auto"/>
            </w:tcBorders>
          </w:tcPr>
          <w:p>
            <w:pPr>
              <w:spacing w:after="0"/>
              <w:rPr>
                <w:sz w:val="6"/>
                <w:szCs w:val="6"/>
                <w:color w:val="auto"/>
              </w:rPr>
            </w:pPr>
          </w:p>
        </w:tc>
        <w:tc>
          <w:tcPr>
            <w:tcW w:w="3540" w:type="dxa"/>
            <w:vAlign w:val="bottom"/>
            <w:tcBorders>
              <w:bottom w:val="single" w:sz="8" w:color="auto"/>
              <w:right w:val="single" w:sz="8" w:color="auto"/>
            </w:tcBorders>
          </w:tcPr>
          <w:p>
            <w:pPr>
              <w:spacing w:after="0"/>
              <w:rPr>
                <w:sz w:val="6"/>
                <w:szCs w:val="6"/>
                <w:color w:val="auto"/>
              </w:rPr>
            </w:pPr>
          </w:p>
        </w:tc>
        <w:tc>
          <w:tcPr>
            <w:tcW w:w="1120" w:type="dxa"/>
            <w:vAlign w:val="bottom"/>
            <w:tcBorders>
              <w:bottom w:val="single" w:sz="8" w:color="auto"/>
              <w:right w:val="single" w:sz="8" w:color="auto"/>
            </w:tcBorders>
          </w:tcPr>
          <w:p>
            <w:pPr>
              <w:spacing w:after="0"/>
              <w:rPr>
                <w:sz w:val="6"/>
                <w:szCs w:val="6"/>
                <w:color w:val="auto"/>
              </w:rPr>
            </w:pPr>
          </w:p>
        </w:tc>
        <w:tc>
          <w:tcPr>
            <w:tcW w:w="1120" w:type="dxa"/>
            <w:vAlign w:val="bottom"/>
            <w:tcBorders>
              <w:bottom w:val="single" w:sz="8" w:color="auto"/>
              <w:right w:val="single" w:sz="8" w:color="auto"/>
            </w:tcBorders>
          </w:tcPr>
          <w:p>
            <w:pPr>
              <w:spacing w:after="0"/>
              <w:rPr>
                <w:sz w:val="6"/>
                <w:szCs w:val="6"/>
                <w:color w:val="auto"/>
              </w:rPr>
            </w:pPr>
          </w:p>
        </w:tc>
        <w:tc>
          <w:tcPr>
            <w:tcW w:w="18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7"/>
        </w:trPr>
        <w:tc>
          <w:tcPr>
            <w:tcW w:w="1160" w:type="dxa"/>
            <w:vAlign w:val="bottom"/>
            <w:tcBorders>
              <w:left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color w:val="0C0C0C"/>
                <w:w w:val="99"/>
              </w:rPr>
              <w:t>园林绿化</w:t>
            </w:r>
          </w:p>
        </w:tc>
        <w:tc>
          <w:tcPr>
            <w:tcW w:w="3540" w:type="dxa"/>
            <w:vAlign w:val="bottom"/>
            <w:tcBorders>
              <w:right w:val="single" w:sz="8" w:color="auto"/>
            </w:tcBorders>
          </w:tcPr>
          <w:p>
            <w:pPr>
              <w:ind w:left="100"/>
              <w:spacing w:after="0" w:line="267" w:lineRule="exact"/>
              <w:rPr>
                <w:sz w:val="20"/>
                <w:szCs w:val="20"/>
                <w:color w:val="auto"/>
              </w:rPr>
            </w:pPr>
            <w:r>
              <w:rPr>
                <w:rFonts w:ascii="宋体" w:cs="宋体" w:eastAsia="宋体" w:hAnsi="宋体"/>
                <w:sz w:val="22"/>
                <w:szCs w:val="22"/>
                <w:color w:val="0C0C0C"/>
              </w:rPr>
              <w:t>建成区绿地率（</w:t>
            </w:r>
            <w:r>
              <w:rPr>
                <w:rFonts w:ascii="Arial" w:cs="Arial" w:eastAsia="Arial" w:hAnsi="Arial"/>
                <w:sz w:val="22"/>
                <w:szCs w:val="22"/>
                <w:color w:val="0C0C0C"/>
              </w:rPr>
              <w:t>%</w:t>
            </w:r>
            <w:r>
              <w:rPr>
                <w:rFonts w:ascii="宋体" w:cs="宋体" w:eastAsia="宋体" w:hAnsi="宋体"/>
                <w:sz w:val="22"/>
                <w:szCs w:val="22"/>
                <w:color w:val="0C0C0C"/>
              </w:rPr>
              <w:t>）</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w w:val="97"/>
              </w:rPr>
              <w:t>36.36</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w w:val="97"/>
              </w:rPr>
              <w:t>38.24</w:t>
            </w:r>
          </w:p>
        </w:tc>
        <w:tc>
          <w:tcPr>
            <w:tcW w:w="1800" w:type="dxa"/>
            <w:vAlign w:val="bottom"/>
            <w:tcBorders>
              <w:right w:val="single" w:sz="8" w:color="auto"/>
            </w:tcBorders>
          </w:tcPr>
          <w:p>
            <w:pPr>
              <w:jc w:val="center"/>
              <w:spacing w:after="0" w:line="267" w:lineRule="exact"/>
              <w:rPr>
                <w:sz w:val="20"/>
                <w:szCs w:val="20"/>
                <w:color w:val="auto"/>
              </w:rPr>
            </w:pPr>
            <w:r>
              <w:rPr>
                <w:rFonts w:ascii="Arial" w:cs="Arial" w:eastAsia="Arial" w:hAnsi="Arial"/>
                <w:sz w:val="22"/>
                <w:szCs w:val="22"/>
                <w:color w:val="0C0C0C"/>
              </w:rPr>
              <w:t xml:space="preserve">1.9 </w:t>
            </w:r>
            <w:r>
              <w:rPr>
                <w:rFonts w:ascii="宋体" w:cs="宋体" w:eastAsia="宋体" w:hAnsi="宋体"/>
                <w:sz w:val="22"/>
                <w:szCs w:val="22"/>
                <w:color w:val="0C0C0C"/>
              </w:rPr>
              <w:t>个百分点</w:t>
            </w:r>
          </w:p>
        </w:tc>
        <w:tc>
          <w:tcPr>
            <w:tcW w:w="0" w:type="dxa"/>
            <w:vAlign w:val="bottom"/>
          </w:tcPr>
          <w:p>
            <w:pPr>
              <w:spacing w:after="0"/>
              <w:rPr>
                <w:sz w:val="1"/>
                <w:szCs w:val="1"/>
                <w:color w:val="auto"/>
              </w:rPr>
            </w:pPr>
          </w:p>
        </w:tc>
      </w:tr>
      <w:tr>
        <w:trPr>
          <w:trHeight w:val="70"/>
        </w:trPr>
        <w:tc>
          <w:tcPr>
            <w:tcW w:w="1160" w:type="dxa"/>
            <w:vAlign w:val="bottom"/>
            <w:tcBorders>
              <w:left w:val="single" w:sz="8" w:color="auto"/>
              <w:right w:val="single" w:sz="8" w:color="auto"/>
            </w:tcBorders>
          </w:tcPr>
          <w:p>
            <w:pPr>
              <w:spacing w:after="0"/>
              <w:rPr>
                <w:sz w:val="6"/>
                <w:szCs w:val="6"/>
                <w:color w:val="auto"/>
              </w:rPr>
            </w:pPr>
          </w:p>
        </w:tc>
        <w:tc>
          <w:tcPr>
            <w:tcW w:w="3540" w:type="dxa"/>
            <w:vAlign w:val="bottom"/>
            <w:tcBorders>
              <w:bottom w:val="single" w:sz="8" w:color="auto"/>
              <w:right w:val="single" w:sz="8" w:color="auto"/>
            </w:tcBorders>
          </w:tcPr>
          <w:p>
            <w:pPr>
              <w:spacing w:after="0"/>
              <w:rPr>
                <w:sz w:val="6"/>
                <w:szCs w:val="6"/>
                <w:color w:val="auto"/>
              </w:rPr>
            </w:pPr>
          </w:p>
        </w:tc>
        <w:tc>
          <w:tcPr>
            <w:tcW w:w="1120" w:type="dxa"/>
            <w:vAlign w:val="bottom"/>
            <w:tcBorders>
              <w:bottom w:val="single" w:sz="8" w:color="auto"/>
              <w:right w:val="single" w:sz="8" w:color="auto"/>
            </w:tcBorders>
          </w:tcPr>
          <w:p>
            <w:pPr>
              <w:spacing w:after="0"/>
              <w:rPr>
                <w:sz w:val="6"/>
                <w:szCs w:val="6"/>
                <w:color w:val="auto"/>
              </w:rPr>
            </w:pPr>
          </w:p>
        </w:tc>
        <w:tc>
          <w:tcPr>
            <w:tcW w:w="1120" w:type="dxa"/>
            <w:vAlign w:val="bottom"/>
            <w:tcBorders>
              <w:bottom w:val="single" w:sz="8" w:color="auto"/>
              <w:right w:val="single" w:sz="8" w:color="auto"/>
            </w:tcBorders>
          </w:tcPr>
          <w:p>
            <w:pPr>
              <w:spacing w:after="0"/>
              <w:rPr>
                <w:sz w:val="6"/>
                <w:szCs w:val="6"/>
                <w:color w:val="auto"/>
              </w:rPr>
            </w:pPr>
          </w:p>
        </w:tc>
        <w:tc>
          <w:tcPr>
            <w:tcW w:w="18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7"/>
        </w:trPr>
        <w:tc>
          <w:tcPr>
            <w:tcW w:w="1160" w:type="dxa"/>
            <w:vAlign w:val="bottom"/>
            <w:tcBorders>
              <w:left w:val="single" w:sz="8" w:color="auto"/>
              <w:right w:val="single" w:sz="8" w:color="auto"/>
            </w:tcBorders>
          </w:tcPr>
          <w:p>
            <w:pPr>
              <w:spacing w:after="0"/>
              <w:rPr>
                <w:sz w:val="24"/>
                <w:szCs w:val="24"/>
                <w:color w:val="auto"/>
              </w:rPr>
            </w:pPr>
          </w:p>
        </w:tc>
        <w:tc>
          <w:tcPr>
            <w:tcW w:w="3540" w:type="dxa"/>
            <w:vAlign w:val="bottom"/>
            <w:tcBorders>
              <w:right w:val="single" w:sz="8" w:color="auto"/>
            </w:tcBorders>
          </w:tcPr>
          <w:p>
            <w:pPr>
              <w:ind w:left="100"/>
              <w:spacing w:after="0" w:line="267" w:lineRule="exact"/>
              <w:rPr>
                <w:sz w:val="20"/>
                <w:szCs w:val="20"/>
                <w:color w:val="auto"/>
              </w:rPr>
            </w:pPr>
            <w:r>
              <w:rPr>
                <w:rFonts w:ascii="宋体" w:cs="宋体" w:eastAsia="宋体" w:hAnsi="宋体"/>
                <w:sz w:val="22"/>
                <w:szCs w:val="22"/>
                <w:color w:val="0C0C0C"/>
              </w:rPr>
              <w:t>人均公园绿地面积（平方米</w:t>
            </w:r>
            <w:r>
              <w:rPr>
                <w:rFonts w:ascii="Arial" w:cs="Arial" w:eastAsia="Arial" w:hAnsi="Arial"/>
                <w:sz w:val="22"/>
                <w:szCs w:val="22"/>
                <w:color w:val="0C0C0C"/>
              </w:rPr>
              <w:t>/</w:t>
            </w:r>
            <w:r>
              <w:rPr>
                <w:rFonts w:ascii="宋体" w:cs="宋体" w:eastAsia="宋体" w:hAnsi="宋体"/>
                <w:sz w:val="22"/>
                <w:szCs w:val="22"/>
                <w:color w:val="0C0C0C"/>
              </w:rPr>
              <w:t>人）</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w w:val="97"/>
              </w:rPr>
              <w:t>13.35</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w w:val="97"/>
              </w:rPr>
              <w:t>14.78</w:t>
            </w:r>
          </w:p>
        </w:tc>
        <w:tc>
          <w:tcPr>
            <w:tcW w:w="180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w w:val="86"/>
              </w:rPr>
              <w:t>10.7%</w:t>
            </w:r>
          </w:p>
        </w:tc>
        <w:tc>
          <w:tcPr>
            <w:tcW w:w="0" w:type="dxa"/>
            <w:vAlign w:val="bottom"/>
          </w:tcPr>
          <w:p>
            <w:pPr>
              <w:spacing w:after="0"/>
              <w:rPr>
                <w:sz w:val="1"/>
                <w:szCs w:val="1"/>
                <w:color w:val="auto"/>
              </w:rPr>
            </w:pPr>
          </w:p>
        </w:tc>
      </w:tr>
      <w:tr>
        <w:trPr>
          <w:trHeight w:val="70"/>
        </w:trPr>
        <w:tc>
          <w:tcPr>
            <w:tcW w:w="1160" w:type="dxa"/>
            <w:vAlign w:val="bottom"/>
            <w:tcBorders>
              <w:left w:val="single" w:sz="8" w:color="auto"/>
              <w:bottom w:val="single" w:sz="8" w:color="auto"/>
              <w:right w:val="single" w:sz="8" w:color="auto"/>
            </w:tcBorders>
          </w:tcPr>
          <w:p>
            <w:pPr>
              <w:spacing w:after="0"/>
              <w:rPr>
                <w:sz w:val="6"/>
                <w:szCs w:val="6"/>
                <w:color w:val="auto"/>
              </w:rPr>
            </w:pPr>
          </w:p>
        </w:tc>
        <w:tc>
          <w:tcPr>
            <w:tcW w:w="3540" w:type="dxa"/>
            <w:vAlign w:val="bottom"/>
            <w:tcBorders>
              <w:bottom w:val="single" w:sz="8" w:color="auto"/>
              <w:right w:val="single" w:sz="8" w:color="auto"/>
            </w:tcBorders>
          </w:tcPr>
          <w:p>
            <w:pPr>
              <w:spacing w:after="0"/>
              <w:rPr>
                <w:sz w:val="6"/>
                <w:szCs w:val="6"/>
                <w:color w:val="auto"/>
              </w:rPr>
            </w:pPr>
          </w:p>
        </w:tc>
        <w:tc>
          <w:tcPr>
            <w:tcW w:w="1120" w:type="dxa"/>
            <w:vAlign w:val="bottom"/>
            <w:tcBorders>
              <w:bottom w:val="single" w:sz="8" w:color="auto"/>
              <w:right w:val="single" w:sz="8" w:color="auto"/>
            </w:tcBorders>
          </w:tcPr>
          <w:p>
            <w:pPr>
              <w:spacing w:after="0"/>
              <w:rPr>
                <w:sz w:val="6"/>
                <w:szCs w:val="6"/>
                <w:color w:val="auto"/>
              </w:rPr>
            </w:pPr>
          </w:p>
        </w:tc>
        <w:tc>
          <w:tcPr>
            <w:tcW w:w="1120" w:type="dxa"/>
            <w:vAlign w:val="bottom"/>
            <w:tcBorders>
              <w:bottom w:val="single" w:sz="8" w:color="auto"/>
              <w:right w:val="single" w:sz="8" w:color="auto"/>
            </w:tcBorders>
          </w:tcPr>
          <w:p>
            <w:pPr>
              <w:spacing w:after="0"/>
              <w:rPr>
                <w:sz w:val="6"/>
                <w:szCs w:val="6"/>
                <w:color w:val="auto"/>
              </w:rPr>
            </w:pPr>
          </w:p>
        </w:tc>
        <w:tc>
          <w:tcPr>
            <w:tcW w:w="18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8"/>
        </w:trPr>
        <w:tc>
          <w:tcPr>
            <w:tcW w:w="1160" w:type="dxa"/>
            <w:vAlign w:val="bottom"/>
            <w:tcBorders>
              <w:left w:val="single" w:sz="8" w:color="auto"/>
              <w:right w:val="single" w:sz="8" w:color="auto"/>
            </w:tcBorders>
          </w:tcPr>
          <w:p>
            <w:pPr>
              <w:spacing w:after="0"/>
              <w:rPr>
                <w:sz w:val="24"/>
                <w:szCs w:val="24"/>
                <w:color w:val="auto"/>
              </w:rPr>
            </w:pPr>
          </w:p>
        </w:tc>
        <w:tc>
          <w:tcPr>
            <w:tcW w:w="3540" w:type="dxa"/>
            <w:vAlign w:val="bottom"/>
            <w:tcBorders>
              <w:right w:val="single" w:sz="8" w:color="auto"/>
            </w:tcBorders>
          </w:tcPr>
          <w:p>
            <w:pPr>
              <w:ind w:left="100"/>
              <w:spacing w:after="0" w:line="267" w:lineRule="exact"/>
              <w:rPr>
                <w:sz w:val="20"/>
                <w:szCs w:val="20"/>
                <w:color w:val="auto"/>
              </w:rPr>
            </w:pPr>
            <w:r>
              <w:rPr>
                <w:rFonts w:ascii="宋体" w:cs="宋体" w:eastAsia="宋体" w:hAnsi="宋体"/>
                <w:sz w:val="22"/>
                <w:szCs w:val="22"/>
                <w:color w:val="0C0C0C"/>
              </w:rPr>
              <w:t>固定宽带家庭普及率（</w:t>
            </w:r>
            <w:r>
              <w:rPr>
                <w:rFonts w:ascii="Arial" w:cs="Arial" w:eastAsia="Arial" w:hAnsi="Arial"/>
                <w:sz w:val="22"/>
                <w:szCs w:val="22"/>
                <w:color w:val="0C0C0C"/>
              </w:rPr>
              <w:t>%</w:t>
            </w:r>
            <w:r>
              <w:rPr>
                <w:rFonts w:ascii="宋体" w:cs="宋体" w:eastAsia="宋体" w:hAnsi="宋体"/>
                <w:sz w:val="22"/>
                <w:szCs w:val="22"/>
                <w:color w:val="0C0C0C"/>
              </w:rPr>
              <w:t>）</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w w:val="89"/>
              </w:rPr>
              <w:t>50</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w w:val="89"/>
              </w:rPr>
              <w:t>91</w:t>
            </w:r>
          </w:p>
        </w:tc>
        <w:tc>
          <w:tcPr>
            <w:tcW w:w="1800" w:type="dxa"/>
            <w:vAlign w:val="bottom"/>
            <w:tcBorders>
              <w:right w:val="single" w:sz="8" w:color="auto"/>
            </w:tcBorders>
          </w:tcPr>
          <w:p>
            <w:pPr>
              <w:jc w:val="center"/>
              <w:spacing w:after="0" w:line="267" w:lineRule="exact"/>
              <w:rPr>
                <w:sz w:val="20"/>
                <w:szCs w:val="20"/>
                <w:color w:val="auto"/>
              </w:rPr>
            </w:pPr>
            <w:r>
              <w:rPr>
                <w:rFonts w:ascii="Arial" w:cs="Arial" w:eastAsia="Arial" w:hAnsi="Arial"/>
                <w:sz w:val="22"/>
                <w:szCs w:val="22"/>
                <w:color w:val="0C0C0C"/>
                <w:w w:val="97"/>
              </w:rPr>
              <w:t xml:space="preserve">41 </w:t>
            </w:r>
            <w:r>
              <w:rPr>
                <w:rFonts w:ascii="宋体" w:cs="宋体" w:eastAsia="宋体" w:hAnsi="宋体"/>
                <w:sz w:val="22"/>
                <w:szCs w:val="22"/>
                <w:color w:val="0C0C0C"/>
                <w:w w:val="97"/>
              </w:rPr>
              <w:t>个百分点</w:t>
            </w:r>
          </w:p>
        </w:tc>
        <w:tc>
          <w:tcPr>
            <w:tcW w:w="0" w:type="dxa"/>
            <w:vAlign w:val="bottom"/>
          </w:tcPr>
          <w:p>
            <w:pPr>
              <w:spacing w:after="0"/>
              <w:rPr>
                <w:sz w:val="1"/>
                <w:szCs w:val="1"/>
                <w:color w:val="auto"/>
              </w:rPr>
            </w:pPr>
          </w:p>
        </w:tc>
      </w:tr>
      <w:tr>
        <w:trPr>
          <w:trHeight w:val="69"/>
        </w:trPr>
        <w:tc>
          <w:tcPr>
            <w:tcW w:w="1160" w:type="dxa"/>
            <w:vAlign w:val="bottom"/>
            <w:tcBorders>
              <w:left w:val="single" w:sz="8" w:color="auto"/>
              <w:right w:val="single" w:sz="8" w:color="auto"/>
            </w:tcBorders>
          </w:tcPr>
          <w:p>
            <w:pPr>
              <w:spacing w:after="0"/>
              <w:rPr>
                <w:sz w:val="6"/>
                <w:szCs w:val="6"/>
                <w:color w:val="auto"/>
              </w:rPr>
            </w:pPr>
          </w:p>
        </w:tc>
        <w:tc>
          <w:tcPr>
            <w:tcW w:w="3540" w:type="dxa"/>
            <w:vAlign w:val="bottom"/>
            <w:tcBorders>
              <w:bottom w:val="single" w:sz="8" w:color="auto"/>
              <w:right w:val="single" w:sz="8" w:color="auto"/>
            </w:tcBorders>
          </w:tcPr>
          <w:p>
            <w:pPr>
              <w:spacing w:after="0"/>
              <w:rPr>
                <w:sz w:val="6"/>
                <w:szCs w:val="6"/>
                <w:color w:val="auto"/>
              </w:rPr>
            </w:pPr>
          </w:p>
        </w:tc>
        <w:tc>
          <w:tcPr>
            <w:tcW w:w="1120" w:type="dxa"/>
            <w:vAlign w:val="bottom"/>
            <w:tcBorders>
              <w:bottom w:val="single" w:sz="8" w:color="auto"/>
              <w:right w:val="single" w:sz="8" w:color="auto"/>
            </w:tcBorders>
          </w:tcPr>
          <w:p>
            <w:pPr>
              <w:spacing w:after="0"/>
              <w:rPr>
                <w:sz w:val="6"/>
                <w:szCs w:val="6"/>
                <w:color w:val="auto"/>
              </w:rPr>
            </w:pPr>
          </w:p>
        </w:tc>
        <w:tc>
          <w:tcPr>
            <w:tcW w:w="1120" w:type="dxa"/>
            <w:vAlign w:val="bottom"/>
            <w:tcBorders>
              <w:bottom w:val="single" w:sz="8" w:color="auto"/>
              <w:right w:val="single" w:sz="8" w:color="auto"/>
            </w:tcBorders>
          </w:tcPr>
          <w:p>
            <w:pPr>
              <w:spacing w:after="0"/>
              <w:rPr>
                <w:sz w:val="6"/>
                <w:szCs w:val="6"/>
                <w:color w:val="auto"/>
              </w:rPr>
            </w:pPr>
          </w:p>
        </w:tc>
        <w:tc>
          <w:tcPr>
            <w:tcW w:w="18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8"/>
        </w:trPr>
        <w:tc>
          <w:tcPr>
            <w:tcW w:w="1160" w:type="dxa"/>
            <w:vAlign w:val="bottom"/>
            <w:tcBorders>
              <w:left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color w:val="0C0C0C"/>
                <w:w w:val="99"/>
              </w:rPr>
              <w:t>信息通信</w:t>
            </w:r>
          </w:p>
        </w:tc>
        <w:tc>
          <w:tcPr>
            <w:tcW w:w="3540" w:type="dxa"/>
            <w:vAlign w:val="bottom"/>
            <w:tcBorders>
              <w:right w:val="single" w:sz="8" w:color="auto"/>
            </w:tcBorders>
          </w:tcPr>
          <w:p>
            <w:pPr>
              <w:ind w:left="100"/>
              <w:spacing w:after="0" w:line="267" w:lineRule="exact"/>
              <w:rPr>
                <w:sz w:val="20"/>
                <w:szCs w:val="20"/>
                <w:color w:val="auto"/>
              </w:rPr>
            </w:pPr>
            <w:r>
              <w:rPr>
                <w:rFonts w:ascii="宋体" w:cs="宋体" w:eastAsia="宋体" w:hAnsi="宋体"/>
                <w:sz w:val="22"/>
                <w:szCs w:val="22"/>
                <w:color w:val="0C0C0C"/>
              </w:rPr>
              <w:t>光纤用户占比（</w:t>
            </w:r>
            <w:r>
              <w:rPr>
                <w:rFonts w:ascii="Arial" w:cs="Arial" w:eastAsia="Arial" w:hAnsi="Arial"/>
                <w:sz w:val="22"/>
                <w:szCs w:val="22"/>
                <w:color w:val="0C0C0C"/>
              </w:rPr>
              <w:t>%</w:t>
            </w:r>
            <w:r>
              <w:rPr>
                <w:rFonts w:ascii="宋体" w:cs="宋体" w:eastAsia="宋体" w:hAnsi="宋体"/>
                <w:sz w:val="22"/>
                <w:szCs w:val="22"/>
                <w:color w:val="0C0C0C"/>
              </w:rPr>
              <w:t>）</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w w:val="89"/>
              </w:rPr>
              <w:t>34</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w w:val="89"/>
              </w:rPr>
              <w:t>93</w:t>
            </w:r>
          </w:p>
        </w:tc>
        <w:tc>
          <w:tcPr>
            <w:tcW w:w="1800" w:type="dxa"/>
            <w:vAlign w:val="bottom"/>
            <w:tcBorders>
              <w:right w:val="single" w:sz="8" w:color="auto"/>
            </w:tcBorders>
          </w:tcPr>
          <w:p>
            <w:pPr>
              <w:jc w:val="center"/>
              <w:spacing w:after="0" w:line="267" w:lineRule="exact"/>
              <w:rPr>
                <w:sz w:val="20"/>
                <w:szCs w:val="20"/>
                <w:color w:val="auto"/>
              </w:rPr>
            </w:pPr>
            <w:r>
              <w:rPr>
                <w:rFonts w:ascii="Arial" w:cs="Arial" w:eastAsia="Arial" w:hAnsi="Arial"/>
                <w:sz w:val="22"/>
                <w:szCs w:val="22"/>
                <w:color w:val="0C0C0C"/>
                <w:w w:val="97"/>
              </w:rPr>
              <w:t xml:space="preserve">59 </w:t>
            </w:r>
            <w:r>
              <w:rPr>
                <w:rFonts w:ascii="宋体" w:cs="宋体" w:eastAsia="宋体" w:hAnsi="宋体"/>
                <w:sz w:val="22"/>
                <w:szCs w:val="22"/>
                <w:color w:val="0C0C0C"/>
                <w:w w:val="97"/>
              </w:rPr>
              <w:t>个百分点</w:t>
            </w:r>
          </w:p>
        </w:tc>
        <w:tc>
          <w:tcPr>
            <w:tcW w:w="0" w:type="dxa"/>
            <w:vAlign w:val="bottom"/>
          </w:tcPr>
          <w:p>
            <w:pPr>
              <w:spacing w:after="0"/>
              <w:rPr>
                <w:sz w:val="1"/>
                <w:szCs w:val="1"/>
                <w:color w:val="auto"/>
              </w:rPr>
            </w:pPr>
          </w:p>
        </w:tc>
      </w:tr>
      <w:tr>
        <w:trPr>
          <w:trHeight w:val="69"/>
        </w:trPr>
        <w:tc>
          <w:tcPr>
            <w:tcW w:w="1160" w:type="dxa"/>
            <w:vAlign w:val="bottom"/>
            <w:tcBorders>
              <w:left w:val="single" w:sz="8" w:color="auto"/>
              <w:right w:val="single" w:sz="8" w:color="auto"/>
            </w:tcBorders>
          </w:tcPr>
          <w:p>
            <w:pPr>
              <w:spacing w:after="0"/>
              <w:rPr>
                <w:sz w:val="6"/>
                <w:szCs w:val="6"/>
                <w:color w:val="auto"/>
              </w:rPr>
            </w:pPr>
          </w:p>
        </w:tc>
        <w:tc>
          <w:tcPr>
            <w:tcW w:w="3540" w:type="dxa"/>
            <w:vAlign w:val="bottom"/>
            <w:tcBorders>
              <w:bottom w:val="single" w:sz="8" w:color="auto"/>
              <w:right w:val="single" w:sz="8" w:color="auto"/>
            </w:tcBorders>
          </w:tcPr>
          <w:p>
            <w:pPr>
              <w:spacing w:after="0"/>
              <w:rPr>
                <w:sz w:val="6"/>
                <w:szCs w:val="6"/>
                <w:color w:val="auto"/>
              </w:rPr>
            </w:pPr>
          </w:p>
        </w:tc>
        <w:tc>
          <w:tcPr>
            <w:tcW w:w="1120" w:type="dxa"/>
            <w:vAlign w:val="bottom"/>
            <w:tcBorders>
              <w:bottom w:val="single" w:sz="8" w:color="auto"/>
              <w:right w:val="single" w:sz="8" w:color="auto"/>
            </w:tcBorders>
          </w:tcPr>
          <w:p>
            <w:pPr>
              <w:spacing w:after="0"/>
              <w:rPr>
                <w:sz w:val="6"/>
                <w:szCs w:val="6"/>
                <w:color w:val="auto"/>
              </w:rPr>
            </w:pPr>
          </w:p>
        </w:tc>
        <w:tc>
          <w:tcPr>
            <w:tcW w:w="1120" w:type="dxa"/>
            <w:vAlign w:val="bottom"/>
            <w:tcBorders>
              <w:bottom w:val="single" w:sz="8" w:color="auto"/>
              <w:right w:val="single" w:sz="8" w:color="auto"/>
            </w:tcBorders>
          </w:tcPr>
          <w:p>
            <w:pPr>
              <w:spacing w:after="0"/>
              <w:rPr>
                <w:sz w:val="6"/>
                <w:szCs w:val="6"/>
                <w:color w:val="auto"/>
              </w:rPr>
            </w:pPr>
          </w:p>
        </w:tc>
        <w:tc>
          <w:tcPr>
            <w:tcW w:w="18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8"/>
        </w:trPr>
        <w:tc>
          <w:tcPr>
            <w:tcW w:w="1160" w:type="dxa"/>
            <w:vAlign w:val="bottom"/>
            <w:tcBorders>
              <w:left w:val="single" w:sz="8" w:color="auto"/>
              <w:right w:val="single" w:sz="8" w:color="auto"/>
            </w:tcBorders>
          </w:tcPr>
          <w:p>
            <w:pPr>
              <w:spacing w:after="0"/>
              <w:rPr>
                <w:sz w:val="24"/>
                <w:szCs w:val="24"/>
                <w:color w:val="auto"/>
              </w:rPr>
            </w:pPr>
          </w:p>
        </w:tc>
        <w:tc>
          <w:tcPr>
            <w:tcW w:w="3540" w:type="dxa"/>
            <w:vAlign w:val="bottom"/>
            <w:tcBorders>
              <w:right w:val="single" w:sz="8" w:color="auto"/>
            </w:tcBorders>
          </w:tcPr>
          <w:p>
            <w:pPr>
              <w:ind w:left="100"/>
              <w:spacing w:after="0" w:line="267" w:lineRule="exact"/>
              <w:rPr>
                <w:sz w:val="20"/>
                <w:szCs w:val="20"/>
                <w:color w:val="auto"/>
              </w:rPr>
            </w:pPr>
            <w:r>
              <w:rPr>
                <w:rFonts w:ascii="Arial" w:cs="Arial" w:eastAsia="Arial" w:hAnsi="Arial"/>
                <w:sz w:val="22"/>
                <w:szCs w:val="22"/>
                <w:color w:val="0C0C0C"/>
              </w:rPr>
              <w:t xml:space="preserve">4G </w:t>
            </w:r>
            <w:r>
              <w:rPr>
                <w:rFonts w:ascii="宋体" w:cs="宋体" w:eastAsia="宋体" w:hAnsi="宋体"/>
                <w:sz w:val="22"/>
                <w:szCs w:val="22"/>
                <w:color w:val="0C0C0C"/>
              </w:rPr>
              <w:t>用户数（亿户）</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rPr>
              <w:t>3.8</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w w:val="89"/>
              </w:rPr>
              <w:t>12</w:t>
            </w:r>
          </w:p>
        </w:tc>
        <w:tc>
          <w:tcPr>
            <w:tcW w:w="180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w w:val="88"/>
              </w:rPr>
              <w:t>215.8%</w:t>
            </w:r>
          </w:p>
        </w:tc>
        <w:tc>
          <w:tcPr>
            <w:tcW w:w="0" w:type="dxa"/>
            <w:vAlign w:val="bottom"/>
          </w:tcPr>
          <w:p>
            <w:pPr>
              <w:spacing w:after="0"/>
              <w:rPr>
                <w:sz w:val="1"/>
                <w:szCs w:val="1"/>
                <w:color w:val="auto"/>
              </w:rPr>
            </w:pPr>
          </w:p>
        </w:tc>
      </w:tr>
      <w:tr>
        <w:trPr>
          <w:trHeight w:val="69"/>
        </w:trPr>
        <w:tc>
          <w:tcPr>
            <w:tcW w:w="1160" w:type="dxa"/>
            <w:vAlign w:val="bottom"/>
            <w:tcBorders>
              <w:left w:val="single" w:sz="8" w:color="auto"/>
              <w:bottom w:val="single" w:sz="8" w:color="auto"/>
              <w:right w:val="single" w:sz="8" w:color="auto"/>
            </w:tcBorders>
          </w:tcPr>
          <w:p>
            <w:pPr>
              <w:spacing w:after="0"/>
              <w:rPr>
                <w:sz w:val="6"/>
                <w:szCs w:val="6"/>
                <w:color w:val="auto"/>
              </w:rPr>
            </w:pPr>
          </w:p>
        </w:tc>
        <w:tc>
          <w:tcPr>
            <w:tcW w:w="3540" w:type="dxa"/>
            <w:vAlign w:val="bottom"/>
            <w:tcBorders>
              <w:bottom w:val="single" w:sz="8" w:color="auto"/>
              <w:right w:val="single" w:sz="8" w:color="auto"/>
            </w:tcBorders>
          </w:tcPr>
          <w:p>
            <w:pPr>
              <w:spacing w:after="0"/>
              <w:rPr>
                <w:sz w:val="6"/>
                <w:szCs w:val="6"/>
                <w:color w:val="auto"/>
              </w:rPr>
            </w:pPr>
          </w:p>
        </w:tc>
        <w:tc>
          <w:tcPr>
            <w:tcW w:w="1120" w:type="dxa"/>
            <w:vAlign w:val="bottom"/>
            <w:tcBorders>
              <w:bottom w:val="single" w:sz="8" w:color="auto"/>
              <w:right w:val="single" w:sz="8" w:color="auto"/>
            </w:tcBorders>
          </w:tcPr>
          <w:p>
            <w:pPr>
              <w:spacing w:after="0"/>
              <w:rPr>
                <w:sz w:val="6"/>
                <w:szCs w:val="6"/>
                <w:color w:val="auto"/>
              </w:rPr>
            </w:pPr>
          </w:p>
        </w:tc>
        <w:tc>
          <w:tcPr>
            <w:tcW w:w="1120" w:type="dxa"/>
            <w:vAlign w:val="bottom"/>
            <w:tcBorders>
              <w:bottom w:val="single" w:sz="8" w:color="auto"/>
              <w:right w:val="single" w:sz="8" w:color="auto"/>
            </w:tcBorders>
          </w:tcPr>
          <w:p>
            <w:pPr>
              <w:spacing w:after="0"/>
              <w:rPr>
                <w:sz w:val="6"/>
                <w:szCs w:val="6"/>
                <w:color w:val="auto"/>
              </w:rPr>
            </w:pPr>
          </w:p>
        </w:tc>
        <w:tc>
          <w:tcPr>
            <w:tcW w:w="18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124"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0C0C0C"/>
        </w:rPr>
        <w:t>“</w:t>
      </w:r>
      <w:r>
        <w:rPr>
          <w:rFonts w:ascii="宋体" w:cs="宋体" w:eastAsia="宋体" w:hAnsi="宋体"/>
          <w:sz w:val="32"/>
          <w:szCs w:val="32"/>
          <w:color w:val="0C0C0C"/>
        </w:rPr>
        <w:t>十四五</w:t>
      </w:r>
      <w:r>
        <w:rPr>
          <w:rFonts w:ascii="Arial" w:cs="Arial" w:eastAsia="Arial" w:hAnsi="Arial"/>
          <w:sz w:val="32"/>
          <w:szCs w:val="32"/>
          <w:color w:val="0C0C0C"/>
        </w:rPr>
        <w:t>”</w:t>
      </w:r>
      <w:r>
        <w:rPr>
          <w:rFonts w:ascii="宋体" w:cs="宋体" w:eastAsia="宋体" w:hAnsi="宋体"/>
          <w:sz w:val="32"/>
          <w:szCs w:val="32"/>
          <w:color w:val="0C0C0C"/>
        </w:rPr>
        <w:t>时期，以建设高质量城市基础设施体系为目标，</w:t>
      </w:r>
    </w:p>
    <w:p>
      <w:pPr>
        <w:spacing w:after="0" w:line="269" w:lineRule="exact"/>
        <w:rPr>
          <w:sz w:val="20"/>
          <w:szCs w:val="20"/>
          <w:color w:val="auto"/>
        </w:rPr>
      </w:pPr>
    </w:p>
    <w:p>
      <w:pPr>
        <w:jc w:val="both"/>
        <w:ind w:left="260" w:right="266"/>
        <w:spacing w:after="0" w:line="545" w:lineRule="exact"/>
        <w:rPr>
          <w:sz w:val="20"/>
          <w:szCs w:val="20"/>
          <w:color w:val="auto"/>
        </w:rPr>
      </w:pPr>
      <w:r>
        <w:rPr>
          <w:rFonts w:ascii="宋体" w:cs="宋体" w:eastAsia="宋体" w:hAnsi="宋体"/>
          <w:sz w:val="31"/>
          <w:szCs w:val="31"/>
          <w:color w:val="0C0C0C"/>
        </w:rPr>
        <w:t>以整体优化、协同融合为导向，从增量建设为主转向存量提质增效与增量结构调整并重，响应碳达峰、碳中和目标要求，统筹系统与局部、存量与增量、建设与管理、灰色与绿色、传统与新型城市基础设施协调发展，推进城市基础设施体系化建设；推动区域重大基础设施互联互通，促进城乡基础设施一体化发展；完善社区配套基础设施，打通城市建设管理</w:t>
      </w:r>
      <w:r>
        <w:rPr>
          <w:rFonts w:ascii="Arial" w:cs="Arial" w:eastAsia="Arial" w:hAnsi="Arial"/>
          <w:sz w:val="31"/>
          <w:szCs w:val="31"/>
          <w:color w:val="0C0C0C"/>
        </w:rPr>
        <w:t>“</w:t>
      </w:r>
      <w:r>
        <w:rPr>
          <w:rFonts w:ascii="宋体" w:cs="宋体" w:eastAsia="宋体" w:hAnsi="宋体"/>
          <w:sz w:val="31"/>
          <w:szCs w:val="31"/>
          <w:color w:val="0C0C0C"/>
        </w:rPr>
        <w:t>最后一公里</w:t>
      </w:r>
      <w:r>
        <w:rPr>
          <w:rFonts w:ascii="Arial" w:cs="Arial" w:eastAsia="Arial" w:hAnsi="Arial"/>
          <w:sz w:val="31"/>
          <w:szCs w:val="31"/>
          <w:color w:val="0C0C0C"/>
        </w:rPr>
        <w:t>”</w:t>
      </w:r>
      <w:r>
        <w:rPr>
          <w:rFonts w:ascii="宋体" w:cs="宋体" w:eastAsia="宋体" w:hAnsi="宋体"/>
          <w:sz w:val="31"/>
          <w:szCs w:val="31"/>
          <w:color w:val="0C0C0C"/>
        </w:rPr>
        <w:t>，保障居民享有完善的基础设施配套服务体系。</w:t>
      </w:r>
    </w:p>
    <w:p>
      <w:pPr>
        <w:sectPr>
          <w:pgSz w:w="11900" w:h="16838" w:orient="portrait"/>
          <w:cols w:equalWidth="0" w:num="1">
            <w:col w:w="9026"/>
          </w:cols>
          <w:pgMar w:left="1440" w:top="1440" w:right="1440" w:bottom="666" w:gutter="0" w:footer="0" w:header="0"/>
        </w:sectPr>
      </w:pPr>
    </w:p>
    <w:p>
      <w:pPr>
        <w:spacing w:after="0" w:line="200" w:lineRule="exact"/>
        <w:rPr>
          <w:sz w:val="20"/>
          <w:szCs w:val="20"/>
          <w:color w:val="auto"/>
        </w:rPr>
      </w:pPr>
    </w:p>
    <w:p>
      <w:pPr>
        <w:spacing w:after="0" w:line="252"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0"/>
          <w:szCs w:val="20"/>
          <w:color w:val="auto"/>
        </w:rPr>
        <w:t>2</w:t>
      </w:r>
    </w:p>
    <w:p>
      <w:pPr>
        <w:sectPr>
          <w:pgSz w:w="11900" w:h="16838" w:orient="portrait"/>
          <w:cols w:equalWidth="0" w:num="1">
            <w:col w:w="9026"/>
          </w:cols>
          <w:pgMar w:left="1440" w:top="1440" w:right="1440" w:bottom="666" w:gutter="0" w:footer="0" w:header="0"/>
          <w:type w:val="continuous"/>
        </w:sectPr>
      </w:pPr>
    </w:p>
    <w:bookmarkStart w:id="2" w:name="page3"/>
    <w:bookmarkEnd w:id="2"/>
    <w:p>
      <w:pPr>
        <w:spacing w:after="0" w:line="200" w:lineRule="exact"/>
        <w:rPr>
          <w:sz w:val="20"/>
          <w:szCs w:val="20"/>
          <w:color w:val="auto"/>
        </w:rPr>
      </w:pPr>
    </w:p>
    <w:p>
      <w:pPr>
        <w:spacing w:after="0" w:line="211" w:lineRule="exact"/>
        <w:rPr>
          <w:sz w:val="20"/>
          <w:szCs w:val="20"/>
          <w:color w:val="auto"/>
        </w:rPr>
      </w:pPr>
    </w:p>
    <w:p>
      <w:pPr>
        <w:ind w:left="900"/>
        <w:spacing w:after="0" w:line="366" w:lineRule="exact"/>
        <w:rPr>
          <w:sz w:val="20"/>
          <w:szCs w:val="20"/>
          <w:color w:val="auto"/>
        </w:rPr>
      </w:pPr>
      <w:r>
        <w:rPr>
          <w:rFonts w:ascii="黑体" w:cs="黑体" w:eastAsia="黑体" w:hAnsi="黑体"/>
          <w:sz w:val="32"/>
          <w:szCs w:val="32"/>
          <w:color w:val="auto"/>
        </w:rPr>
        <w:t>二、总体要求</w:t>
      </w:r>
    </w:p>
    <w:p>
      <w:pPr>
        <w:spacing w:after="0" w:line="265" w:lineRule="exact"/>
        <w:rPr>
          <w:sz w:val="20"/>
          <w:szCs w:val="20"/>
          <w:color w:val="auto"/>
        </w:rPr>
      </w:pPr>
    </w:p>
    <w:p>
      <w:pPr>
        <w:jc w:val="both"/>
        <w:ind w:left="260" w:right="126" w:firstLine="638"/>
        <w:spacing w:after="0" w:line="557" w:lineRule="exact"/>
        <w:rPr>
          <w:sz w:val="20"/>
          <w:szCs w:val="20"/>
          <w:color w:val="auto"/>
        </w:rPr>
      </w:pPr>
      <w:r>
        <w:rPr>
          <w:rFonts w:ascii="宋体" w:cs="宋体" w:eastAsia="宋体" w:hAnsi="宋体"/>
          <w:sz w:val="31"/>
          <w:szCs w:val="31"/>
          <w:color w:val="auto"/>
        </w:rPr>
        <w:t>（一）指导思想。</w:t>
      </w:r>
      <w:r>
        <w:rPr>
          <w:rFonts w:ascii="宋体" w:cs="宋体" w:eastAsia="宋体" w:hAnsi="宋体"/>
          <w:sz w:val="31"/>
          <w:szCs w:val="31"/>
          <w:color w:val="0C0C0C"/>
        </w:rPr>
        <w:t>以习近平新时代中国特色社会主义思想为指导，认真落实党中央、国务院决策部署，坚持以人民为中心的发展思想，坚持问题导向、目标导向，统筹发展和安全，系统谋划、整体协同，以解决人民群众最关心、最直接、最现实的利益问题为立足点，以高效、便利、智能、安全为导向，着力补短板、强弱项、提品质、增效益，调动全社会力量，构建系统完备、高效实用、智能绿色、安全可靠的现代化基础设施体系，实现经济效益、社会效益、生态效益、安全效益相统一，全面提高城市基础设施运行效率，完善城市基础设施全生命周期管理机制，持续推进城市基础设施高质量发展。</w:t>
      </w:r>
    </w:p>
    <w:p>
      <w:pPr>
        <w:spacing w:after="0" w:line="222"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（二）工作原则。</w:t>
      </w:r>
    </w:p>
    <w:p>
      <w:pPr>
        <w:spacing w:after="0" w:line="265" w:lineRule="exact"/>
        <w:rPr>
          <w:sz w:val="20"/>
          <w:szCs w:val="20"/>
          <w:color w:val="auto"/>
        </w:rPr>
      </w:pPr>
    </w:p>
    <w:p>
      <w:pPr>
        <w:jc w:val="both"/>
        <w:ind w:left="260" w:right="266" w:firstLine="638"/>
        <w:spacing w:after="0" w:line="531" w:lineRule="exact"/>
        <w:rPr>
          <w:sz w:val="20"/>
          <w:szCs w:val="20"/>
          <w:color w:val="auto"/>
        </w:rPr>
      </w:pPr>
      <w:r>
        <w:rPr>
          <w:rFonts w:ascii="黑体" w:cs="黑体" w:eastAsia="黑体" w:hAnsi="黑体"/>
          <w:sz w:val="32"/>
          <w:szCs w:val="32"/>
          <w:color w:val="0C0C0C"/>
        </w:rPr>
        <w:t>——</w:t>
      </w:r>
      <w:r>
        <w:rPr>
          <w:rFonts w:ascii="宋体" w:cs="宋体" w:eastAsia="宋体" w:hAnsi="宋体"/>
          <w:sz w:val="32"/>
          <w:szCs w:val="32"/>
          <w:color w:val="0C0C0C"/>
        </w:rPr>
        <w:t>绿色低碳，安全韧性。全面落实新发展理念，推动新时期城市基础设施的绿色低碳发展新模式、新路径，集中力量解决城市基础设施建设的薄弱环节，提高基础设施安全运行和抵抗风险的水平，加强重大风险预测预警能力，保障城市运行安全。</w:t>
      </w:r>
    </w:p>
    <w:p>
      <w:pPr>
        <w:spacing w:after="0" w:line="224" w:lineRule="exact"/>
        <w:rPr>
          <w:sz w:val="20"/>
          <w:szCs w:val="20"/>
          <w:color w:val="auto"/>
        </w:rPr>
      </w:pPr>
    </w:p>
    <w:p>
      <w:pPr>
        <w:ind w:left="900"/>
        <w:spacing w:after="0" w:line="366" w:lineRule="exact"/>
        <w:rPr>
          <w:sz w:val="20"/>
          <w:szCs w:val="20"/>
          <w:color w:val="auto"/>
        </w:rPr>
      </w:pPr>
      <w:r>
        <w:rPr>
          <w:rFonts w:ascii="黑体" w:cs="黑体" w:eastAsia="黑体" w:hAnsi="黑体"/>
          <w:sz w:val="32"/>
          <w:szCs w:val="32"/>
          <w:color w:val="0C0C0C"/>
        </w:rPr>
        <w:t>——</w:t>
      </w:r>
      <w:r>
        <w:rPr>
          <w:rFonts w:ascii="宋体" w:cs="宋体" w:eastAsia="宋体" w:hAnsi="宋体"/>
          <w:sz w:val="32"/>
          <w:szCs w:val="32"/>
          <w:color w:val="0C0C0C"/>
        </w:rPr>
        <w:t>民生优先，智能高效。坚持以人民为中心，系统谋划</w:t>
      </w:r>
    </w:p>
    <w:p>
      <w:pPr>
        <w:spacing w:after="0" w:line="262" w:lineRule="exact"/>
        <w:rPr>
          <w:sz w:val="20"/>
          <w:szCs w:val="20"/>
          <w:color w:val="auto"/>
        </w:rPr>
      </w:pPr>
    </w:p>
    <w:p>
      <w:pPr>
        <w:ind w:left="260" w:right="106"/>
        <w:spacing w:after="0" w:line="495" w:lineRule="exact"/>
        <w:rPr>
          <w:sz w:val="20"/>
          <w:szCs w:val="20"/>
          <w:color w:val="auto"/>
        </w:rPr>
      </w:pPr>
      <w:r>
        <w:rPr>
          <w:rFonts w:ascii="宋体" w:cs="宋体" w:eastAsia="宋体" w:hAnsi="宋体"/>
          <w:sz w:val="30"/>
          <w:szCs w:val="30"/>
          <w:color w:val="0C0C0C"/>
        </w:rPr>
        <w:t>城市基础设施建设重点任务，因地制宜、因城施策，提升城市基础设施建设运营智能化管控水平，提高基础设施供给质量和运行效率，打造高品质生活空间，满足人民群众美好生活需要。</w:t>
      </w:r>
    </w:p>
    <w:p>
      <w:pPr>
        <w:spacing w:after="0" w:line="223" w:lineRule="exact"/>
        <w:rPr>
          <w:sz w:val="20"/>
          <w:szCs w:val="20"/>
          <w:color w:val="auto"/>
        </w:rPr>
      </w:pPr>
    </w:p>
    <w:p>
      <w:pPr>
        <w:ind w:left="900"/>
        <w:spacing w:after="0" w:line="366" w:lineRule="exact"/>
        <w:rPr>
          <w:sz w:val="20"/>
          <w:szCs w:val="20"/>
          <w:color w:val="auto"/>
        </w:rPr>
      </w:pPr>
      <w:r>
        <w:rPr>
          <w:rFonts w:ascii="黑体" w:cs="黑体" w:eastAsia="黑体" w:hAnsi="黑体"/>
          <w:sz w:val="32"/>
          <w:szCs w:val="32"/>
          <w:color w:val="0C0C0C"/>
        </w:rPr>
        <w:t>——</w:t>
      </w:r>
      <w:r>
        <w:rPr>
          <w:rFonts w:ascii="宋体" w:cs="宋体" w:eastAsia="宋体" w:hAnsi="宋体"/>
          <w:sz w:val="32"/>
          <w:szCs w:val="32"/>
          <w:color w:val="0C0C0C"/>
        </w:rPr>
        <w:t>科学统筹，补足短板。加强城市基础设施建设规划的</w:t>
      </w:r>
    </w:p>
    <w:p>
      <w:pPr>
        <w:spacing w:after="0" w:line="217"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0C0C0C"/>
        </w:rPr>
        <w:t>统筹引领作用，科学确定目标指标，着力实现城市基础设施全</w:t>
      </w:r>
    </w:p>
    <w:p>
      <w:pPr>
        <w:sectPr>
          <w:pgSz w:w="11900" w:h="16838" w:orient="portrait"/>
          <w:cols w:equalWidth="0" w:num="1">
            <w:col w:w="9026"/>
          </w:cols>
          <w:pgMar w:left="1440" w:top="1440" w:right="1440" w:bottom="666" w:gutter="0" w:footer="0" w:header="0"/>
        </w:sectPr>
      </w:pPr>
    </w:p>
    <w:p>
      <w:pPr>
        <w:spacing w:after="0" w:line="316"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0"/>
          <w:szCs w:val="20"/>
          <w:color w:val="auto"/>
        </w:rPr>
        <w:t>3</w:t>
      </w:r>
    </w:p>
    <w:p>
      <w:pPr>
        <w:sectPr>
          <w:pgSz w:w="11900" w:h="16838" w:orient="portrait"/>
          <w:cols w:equalWidth="0" w:num="1">
            <w:col w:w="9026"/>
          </w:cols>
          <w:pgMar w:left="1440" w:top="1440" w:right="1440" w:bottom="666" w:gutter="0" w:footer="0" w:header="0"/>
          <w:type w:val="continuous"/>
        </w:sectPr>
      </w:pPr>
    </w:p>
    <w:bookmarkStart w:id="3" w:name="page4"/>
    <w:bookmarkEnd w:id="3"/>
    <w:p>
      <w:pPr>
        <w:spacing w:after="0" w:line="200" w:lineRule="exact"/>
        <w:rPr>
          <w:sz w:val="20"/>
          <w:szCs w:val="20"/>
          <w:color w:val="auto"/>
        </w:rPr>
      </w:pPr>
    </w:p>
    <w:p>
      <w:pPr>
        <w:spacing w:after="0" w:line="255" w:lineRule="exact"/>
        <w:rPr>
          <w:sz w:val="20"/>
          <w:szCs w:val="20"/>
          <w:color w:val="auto"/>
        </w:rPr>
      </w:pPr>
    </w:p>
    <w:p>
      <w:pPr>
        <w:ind w:left="260" w:right="126"/>
        <w:spacing w:after="0" w:line="451" w:lineRule="exact"/>
        <w:rPr>
          <w:sz w:val="20"/>
          <w:szCs w:val="20"/>
          <w:color w:val="auto"/>
        </w:rPr>
      </w:pPr>
      <w:r>
        <w:rPr>
          <w:rFonts w:ascii="宋体" w:cs="宋体" w:eastAsia="宋体" w:hAnsi="宋体"/>
          <w:sz w:val="31"/>
          <w:szCs w:val="31"/>
          <w:color w:val="0C0C0C"/>
        </w:rPr>
        <w:t>领域系统推进和关键领域关键环节突破相结合，量力而行、尽力而为，加快推进设施建设补短板，不断增强城市承载能力。</w:t>
      </w:r>
    </w:p>
    <w:p>
      <w:pPr>
        <w:spacing w:after="0" w:line="266" w:lineRule="exact"/>
        <w:rPr>
          <w:sz w:val="20"/>
          <w:szCs w:val="20"/>
          <w:color w:val="auto"/>
        </w:rPr>
      </w:pPr>
    </w:p>
    <w:p>
      <w:pPr>
        <w:jc w:val="both"/>
        <w:ind w:left="260" w:right="266" w:firstLine="638"/>
        <w:spacing w:after="0" w:line="530" w:lineRule="exact"/>
        <w:rPr>
          <w:sz w:val="20"/>
          <w:szCs w:val="20"/>
          <w:color w:val="auto"/>
        </w:rPr>
      </w:pPr>
      <w:r>
        <w:rPr>
          <w:rFonts w:ascii="黑体" w:cs="黑体" w:eastAsia="黑体" w:hAnsi="黑体"/>
          <w:sz w:val="32"/>
          <w:szCs w:val="32"/>
          <w:color w:val="0C0C0C"/>
        </w:rPr>
        <w:t>——</w:t>
      </w:r>
      <w:r>
        <w:rPr>
          <w:rFonts w:ascii="宋体" w:cs="宋体" w:eastAsia="宋体" w:hAnsi="宋体"/>
          <w:sz w:val="32"/>
          <w:szCs w:val="32"/>
          <w:color w:val="0C0C0C"/>
        </w:rPr>
        <w:t>系统协调，开放共享。统筹做好城市基础设施建设系统协调工作，科学确定各类基础设施的规模和布局，针对不同城市资源禀赋，因地制宜推进城市基础设施建设，加强区域之间、城市群之间、城乡之间基础设施共建共享，提高设施使用效率。</w:t>
      </w:r>
    </w:p>
    <w:p>
      <w:pPr>
        <w:spacing w:after="0" w:line="276" w:lineRule="exact"/>
        <w:rPr>
          <w:sz w:val="20"/>
          <w:szCs w:val="20"/>
          <w:color w:val="auto"/>
        </w:rPr>
      </w:pPr>
    </w:p>
    <w:p>
      <w:pPr>
        <w:jc w:val="both"/>
        <w:ind w:left="260" w:right="266" w:firstLine="638"/>
        <w:spacing w:after="0" w:line="545" w:lineRule="exact"/>
        <w:rPr>
          <w:sz w:val="20"/>
          <w:szCs w:val="20"/>
          <w:color w:val="auto"/>
        </w:rPr>
      </w:pPr>
      <w:r>
        <w:rPr>
          <w:rFonts w:ascii="宋体" w:cs="宋体" w:eastAsia="宋体" w:hAnsi="宋体"/>
          <w:sz w:val="31"/>
          <w:szCs w:val="31"/>
          <w:color w:val="000000"/>
        </w:rPr>
        <w:t>（三）规划目标。</w:t>
      </w:r>
      <w:r>
        <w:rPr>
          <w:rFonts w:ascii="Arial" w:cs="Arial" w:eastAsia="Arial" w:hAnsi="Arial"/>
          <w:sz w:val="31"/>
          <w:szCs w:val="31"/>
          <w:color w:val="0C0C0C"/>
        </w:rPr>
        <w:t>“</w:t>
      </w:r>
      <w:r>
        <w:rPr>
          <w:rFonts w:ascii="宋体" w:cs="宋体" w:eastAsia="宋体" w:hAnsi="宋体"/>
          <w:sz w:val="31"/>
          <w:szCs w:val="31"/>
          <w:color w:val="0C0C0C"/>
        </w:rPr>
        <w:t>十四五</w:t>
      </w:r>
      <w:r>
        <w:rPr>
          <w:rFonts w:ascii="Arial" w:cs="Arial" w:eastAsia="Arial" w:hAnsi="Arial"/>
          <w:sz w:val="31"/>
          <w:szCs w:val="31"/>
          <w:color w:val="0C0C0C"/>
        </w:rPr>
        <w:t>”</w:t>
      </w:r>
      <w:r>
        <w:rPr>
          <w:rFonts w:ascii="宋体" w:cs="宋体" w:eastAsia="宋体" w:hAnsi="宋体"/>
          <w:sz w:val="31"/>
          <w:szCs w:val="31"/>
          <w:color w:val="0C0C0C"/>
        </w:rPr>
        <w:t>时期，城市基础设施发展坚持目标导向和问题导向相结合，对标</w:t>
      </w:r>
      <w:r>
        <w:rPr>
          <w:rFonts w:ascii="Arial" w:cs="Arial" w:eastAsia="Arial" w:hAnsi="Arial"/>
          <w:sz w:val="31"/>
          <w:szCs w:val="31"/>
          <w:color w:val="0C0C0C"/>
        </w:rPr>
        <w:t xml:space="preserve"> 2035 </w:t>
      </w:r>
      <w:r>
        <w:rPr>
          <w:rFonts w:ascii="宋体" w:cs="宋体" w:eastAsia="宋体" w:hAnsi="宋体"/>
          <w:sz w:val="31"/>
          <w:szCs w:val="31"/>
          <w:color w:val="0C0C0C"/>
        </w:rPr>
        <w:t>年基本实现社会主义现代化的战略目标，围绕基础设施的体系化、品质化、绿色化、低碳化、智慧化发展，适度超前布局有利于引领产业发展和维护国家安全的基础设施，同时把握好超前建设的度，研究推出一批重大行动和改革举措，靠前安排、加快形成实物工作量，推动建设宜居、绿色、韧性、智慧、人文城市。</w:t>
      </w:r>
    </w:p>
    <w:p>
      <w:pPr>
        <w:spacing w:after="0" w:line="277" w:lineRule="exact"/>
        <w:rPr>
          <w:sz w:val="20"/>
          <w:szCs w:val="20"/>
          <w:color w:val="auto"/>
        </w:rPr>
      </w:pPr>
    </w:p>
    <w:p>
      <w:pPr>
        <w:ind w:left="260" w:right="106" w:firstLine="640"/>
        <w:spacing w:after="0" w:line="531" w:lineRule="exact"/>
        <w:tabs>
          <w:tab w:leader="none" w:pos="1299" w:val="left"/>
        </w:tabs>
        <w:numPr>
          <w:ilvl w:val="0"/>
          <w:numId w:val="1"/>
        </w:numPr>
        <w:rPr>
          <w:rFonts w:ascii="宋体" w:cs="宋体" w:eastAsia="宋体" w:hAnsi="宋体"/>
          <w:sz w:val="32"/>
          <w:szCs w:val="32"/>
          <w:color w:val="0C0C0C"/>
        </w:rPr>
      </w:pPr>
      <w:r>
        <w:rPr>
          <w:rFonts w:ascii="Arial" w:cs="Arial" w:eastAsia="Arial" w:hAnsi="Arial"/>
          <w:sz w:val="32"/>
          <w:szCs w:val="32"/>
          <w:color w:val="0C0C0C"/>
        </w:rPr>
        <w:t xml:space="preserve">2025 </w:t>
      </w:r>
      <w:r>
        <w:rPr>
          <w:rFonts w:ascii="宋体" w:cs="宋体" w:eastAsia="宋体" w:hAnsi="宋体"/>
          <w:sz w:val="32"/>
          <w:szCs w:val="32"/>
          <w:color w:val="0C0C0C"/>
        </w:rPr>
        <w:t>年，城市建设方式和生产生活方式绿色转型成效显著，基础设施体系化水平、运行效率和防风险能力显著提升，超大特大城市</w:t>
      </w:r>
      <w:r>
        <w:rPr>
          <w:rFonts w:ascii="Arial" w:cs="Arial" w:eastAsia="Arial" w:hAnsi="Arial"/>
          <w:sz w:val="32"/>
          <w:szCs w:val="32"/>
          <w:color w:val="0C0C0C"/>
        </w:rPr>
        <w:t>“</w:t>
      </w:r>
      <w:r>
        <w:rPr>
          <w:rFonts w:ascii="宋体" w:cs="宋体" w:eastAsia="宋体" w:hAnsi="宋体"/>
          <w:sz w:val="32"/>
          <w:szCs w:val="32"/>
          <w:color w:val="0C0C0C"/>
        </w:rPr>
        <w:t>城市病</w:t>
      </w:r>
      <w:r>
        <w:rPr>
          <w:rFonts w:ascii="Arial" w:cs="Arial" w:eastAsia="Arial" w:hAnsi="Arial"/>
          <w:sz w:val="32"/>
          <w:szCs w:val="32"/>
          <w:color w:val="0C0C0C"/>
        </w:rPr>
        <w:t>”</w:t>
      </w:r>
      <w:r>
        <w:rPr>
          <w:rFonts w:ascii="宋体" w:cs="宋体" w:eastAsia="宋体" w:hAnsi="宋体"/>
          <w:sz w:val="32"/>
          <w:szCs w:val="32"/>
          <w:color w:val="0C0C0C"/>
        </w:rPr>
        <w:t>得到有效缓解，基础设施运行更加高效，大中城市基础设施质量明显提升，中小城市基础设施短板加快补齐。</w:t>
      </w:r>
    </w:p>
    <w:p>
      <w:pPr>
        <w:spacing w:after="0" w:line="246" w:lineRule="exact"/>
        <w:rPr>
          <w:rFonts w:ascii="宋体" w:cs="宋体" w:eastAsia="宋体" w:hAnsi="宋体"/>
          <w:sz w:val="32"/>
          <w:szCs w:val="32"/>
          <w:color w:val="0C0C0C"/>
        </w:rPr>
      </w:pPr>
    </w:p>
    <w:p>
      <w:pPr>
        <w:jc w:val="both"/>
        <w:ind w:left="260" w:right="266" w:firstLine="640"/>
        <w:spacing w:after="0" w:line="496" w:lineRule="exact"/>
        <w:tabs>
          <w:tab w:leader="none" w:pos="1299" w:val="left"/>
        </w:tabs>
        <w:numPr>
          <w:ilvl w:val="0"/>
          <w:numId w:val="1"/>
        </w:numPr>
        <w:rPr>
          <w:rFonts w:ascii="宋体" w:cs="宋体" w:eastAsia="宋体" w:hAnsi="宋体"/>
          <w:sz w:val="32"/>
          <w:szCs w:val="32"/>
          <w:color w:val="0C0C0C"/>
        </w:rPr>
      </w:pPr>
      <w:r>
        <w:rPr>
          <w:rFonts w:ascii="Arial" w:cs="Arial" w:eastAsia="Arial" w:hAnsi="Arial"/>
          <w:sz w:val="32"/>
          <w:szCs w:val="32"/>
          <w:color w:val="0C0C0C"/>
        </w:rPr>
        <w:t xml:space="preserve">2035 </w:t>
      </w:r>
      <w:r>
        <w:rPr>
          <w:rFonts w:ascii="宋体" w:cs="宋体" w:eastAsia="宋体" w:hAnsi="宋体"/>
          <w:sz w:val="32"/>
          <w:szCs w:val="32"/>
          <w:color w:val="0C0C0C"/>
        </w:rPr>
        <w:t>年，全面建成系统完备、高效实用、智能绿色、安全可靠的现代化城市基础设施体系，建设方式基本实现绿色转型，设施整体质量、运行效率和服务管理水平达到国际先进水平。</w:t>
      </w:r>
    </w:p>
    <w:p>
      <w:pPr>
        <w:sectPr>
          <w:pgSz w:w="11900" w:h="16838" w:orient="portrait"/>
          <w:cols w:equalWidth="0" w:num="1">
            <w:col w:w="9026"/>
          </w:cols>
          <w:pgMar w:left="1440" w:top="1440" w:right="1440" w:bottom="666" w:gutter="0" w:footer="0" w:header="0"/>
        </w:sectPr>
      </w:pPr>
    </w:p>
    <w:p>
      <w:pPr>
        <w:spacing w:after="0" w:line="200" w:lineRule="exact"/>
        <w:rPr>
          <w:sz w:val="20"/>
          <w:szCs w:val="20"/>
          <w:color w:val="auto"/>
        </w:rPr>
      </w:pPr>
    </w:p>
    <w:p>
      <w:pPr>
        <w:spacing w:after="0" w:line="227"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0"/>
          <w:szCs w:val="20"/>
          <w:color w:val="auto"/>
        </w:rPr>
        <w:t>4</w:t>
      </w:r>
    </w:p>
    <w:p>
      <w:pPr>
        <w:sectPr>
          <w:pgSz w:w="11900" w:h="16838" w:orient="portrait"/>
          <w:cols w:equalWidth="0" w:num="1">
            <w:col w:w="9026"/>
          </w:cols>
          <w:pgMar w:left="1440" w:top="1440" w:right="1440" w:bottom="666" w:gutter="0" w:footer="0" w:header="0"/>
          <w:type w:val="continuous"/>
        </w:sectPr>
      </w:pPr>
    </w:p>
    <w:bookmarkStart w:id="4" w:name="page5"/>
    <w:bookmarkEnd w:id="4"/>
    <w:p>
      <w:pPr>
        <w:spacing w:after="0" w:line="200" w:lineRule="exact"/>
        <w:rPr>
          <w:sz w:val="20"/>
          <w:szCs w:val="20"/>
          <w:color w:val="auto"/>
        </w:rPr>
      </w:pPr>
    </w:p>
    <w:p>
      <w:pPr>
        <w:spacing w:after="0" w:line="227" w:lineRule="exact"/>
        <w:rPr>
          <w:sz w:val="20"/>
          <w:szCs w:val="20"/>
          <w:color w:val="auto"/>
        </w:rPr>
      </w:pPr>
    </w:p>
    <w:p>
      <w:pPr>
        <w:jc w:val="center"/>
        <w:ind w:right="20"/>
        <w:spacing w:after="0" w:line="340" w:lineRule="exact"/>
        <w:rPr>
          <w:sz w:val="20"/>
          <w:szCs w:val="20"/>
          <w:color w:val="auto"/>
        </w:rPr>
      </w:pPr>
      <w:r>
        <w:rPr>
          <w:rFonts w:ascii="宋体" w:cs="宋体" w:eastAsia="宋体" w:hAnsi="宋体"/>
          <w:sz w:val="28"/>
          <w:szCs w:val="28"/>
          <w:color w:val="0C0C0C"/>
        </w:rPr>
        <w:t>表</w:t>
      </w:r>
      <w:r>
        <w:rPr>
          <w:rFonts w:ascii="Arial" w:cs="Arial" w:eastAsia="Arial" w:hAnsi="Arial"/>
          <w:sz w:val="28"/>
          <w:szCs w:val="28"/>
          <w:color w:val="0C0C0C"/>
        </w:rPr>
        <w:t xml:space="preserve"> 2 “</w:t>
      </w:r>
      <w:r>
        <w:rPr>
          <w:rFonts w:ascii="宋体" w:cs="宋体" w:eastAsia="宋体" w:hAnsi="宋体"/>
          <w:sz w:val="28"/>
          <w:szCs w:val="28"/>
          <w:color w:val="0C0C0C"/>
        </w:rPr>
        <w:t>十四五</w:t>
      </w:r>
      <w:r>
        <w:rPr>
          <w:rFonts w:ascii="Arial" w:cs="Arial" w:eastAsia="Arial" w:hAnsi="Arial"/>
          <w:sz w:val="28"/>
          <w:szCs w:val="28"/>
          <w:color w:val="0C0C0C"/>
        </w:rPr>
        <w:t>”</w:t>
      </w:r>
      <w:r>
        <w:rPr>
          <w:rFonts w:ascii="宋体" w:cs="宋体" w:eastAsia="宋体" w:hAnsi="宋体"/>
          <w:sz w:val="28"/>
          <w:szCs w:val="28"/>
          <w:color w:val="0C0C0C"/>
        </w:rPr>
        <w:t>城市基础设施主要发展指标</w:t>
      </w:r>
    </w:p>
    <w:p>
      <w:pPr>
        <w:spacing w:after="0" w:line="59" w:lineRule="exact"/>
        <w:rPr>
          <w:sz w:val="20"/>
          <w:szCs w:val="20"/>
          <w:color w:val="auto"/>
        </w:rPr>
      </w:pPr>
    </w:p>
    <w:tbl>
      <w:tblPr>
        <w:tblLayout w:type="fixed"/>
        <w:tblInd w:w="10" w:type="dxa"/>
        <w:tblCellMar>
          <w:top w:w="0" w:type="dxa"/>
          <w:left w:w="0" w:type="dxa"/>
          <w:bottom w:w="0" w:type="dxa"/>
          <w:right w:w="0" w:type="dxa"/>
        </w:tblCellMar>
      </w:tblPr>
      <w:tr>
        <w:trPr>
          <w:trHeight w:val="369"/>
        </w:trPr>
        <w:tc>
          <w:tcPr>
            <w:tcW w:w="940" w:type="dxa"/>
            <w:vAlign w:val="bottom"/>
            <w:tcBorders>
              <w:top w:val="single" w:sz="8" w:color="auto"/>
              <w:left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b w:val="1"/>
                <w:bCs w:val="1"/>
                <w:color w:val="0C0C0C"/>
                <w:w w:val="99"/>
              </w:rPr>
              <w:t>类别</w:t>
            </w:r>
          </w:p>
        </w:tc>
        <w:tc>
          <w:tcPr>
            <w:tcW w:w="660" w:type="dxa"/>
            <w:vAlign w:val="bottom"/>
            <w:tcBorders>
              <w:top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b w:val="1"/>
                <w:bCs w:val="1"/>
                <w:color w:val="0C0C0C"/>
                <w:w w:val="99"/>
              </w:rPr>
              <w:t>序号</w:t>
            </w:r>
          </w:p>
        </w:tc>
        <w:tc>
          <w:tcPr>
            <w:tcW w:w="3160" w:type="dxa"/>
            <w:vAlign w:val="bottom"/>
            <w:tcBorders>
              <w:top w:val="single" w:sz="8" w:color="auto"/>
              <w:right w:val="single" w:sz="8" w:color="auto"/>
            </w:tcBorders>
          </w:tcPr>
          <w:p>
            <w:pPr>
              <w:ind w:left="1120"/>
              <w:spacing w:after="0" w:line="251" w:lineRule="exact"/>
              <w:rPr>
                <w:sz w:val="20"/>
                <w:szCs w:val="20"/>
                <w:color w:val="auto"/>
              </w:rPr>
            </w:pPr>
            <w:r>
              <w:rPr>
                <w:rFonts w:ascii="宋体" w:cs="宋体" w:eastAsia="宋体" w:hAnsi="宋体"/>
                <w:sz w:val="22"/>
                <w:szCs w:val="22"/>
                <w:b w:val="1"/>
                <w:bCs w:val="1"/>
                <w:color w:val="0C0C0C"/>
              </w:rPr>
              <w:t>发展指标</w:t>
            </w:r>
          </w:p>
        </w:tc>
        <w:tc>
          <w:tcPr>
            <w:tcW w:w="1460" w:type="dxa"/>
            <w:vAlign w:val="bottom"/>
            <w:tcBorders>
              <w:top w:val="single" w:sz="8" w:color="auto"/>
              <w:right w:val="single" w:sz="8" w:color="auto"/>
            </w:tcBorders>
          </w:tcPr>
          <w:p>
            <w:pPr>
              <w:jc w:val="center"/>
              <w:spacing w:after="0" w:line="267" w:lineRule="exact"/>
              <w:rPr>
                <w:sz w:val="20"/>
                <w:szCs w:val="20"/>
                <w:color w:val="auto"/>
              </w:rPr>
            </w:pPr>
            <w:r>
              <w:rPr>
                <w:rFonts w:ascii="Arial" w:cs="Arial" w:eastAsia="Arial" w:hAnsi="Arial"/>
                <w:sz w:val="22"/>
                <w:szCs w:val="22"/>
                <w:b w:val="1"/>
                <w:bCs w:val="1"/>
                <w:color w:val="0C0C0C"/>
                <w:w w:val="95"/>
              </w:rPr>
              <w:t xml:space="preserve">2020 </w:t>
            </w:r>
            <w:r>
              <w:rPr>
                <w:rFonts w:ascii="宋体" w:cs="宋体" w:eastAsia="宋体" w:hAnsi="宋体"/>
                <w:sz w:val="22"/>
                <w:szCs w:val="22"/>
                <w:b w:val="1"/>
                <w:bCs w:val="1"/>
                <w:color w:val="0C0C0C"/>
                <w:w w:val="95"/>
              </w:rPr>
              <w:t>年现状</w:t>
            </w:r>
          </w:p>
        </w:tc>
        <w:tc>
          <w:tcPr>
            <w:tcW w:w="2860" w:type="dxa"/>
            <w:vAlign w:val="bottom"/>
            <w:tcBorders>
              <w:top w:val="single" w:sz="8" w:color="auto"/>
              <w:right w:val="single" w:sz="8" w:color="auto"/>
            </w:tcBorders>
          </w:tcPr>
          <w:p>
            <w:pPr>
              <w:jc w:val="center"/>
              <w:spacing w:after="0" w:line="267" w:lineRule="exact"/>
              <w:rPr>
                <w:sz w:val="20"/>
                <w:szCs w:val="20"/>
                <w:color w:val="auto"/>
              </w:rPr>
            </w:pPr>
            <w:r>
              <w:rPr>
                <w:rFonts w:ascii="Arial" w:cs="Arial" w:eastAsia="Arial" w:hAnsi="Arial"/>
                <w:sz w:val="22"/>
                <w:szCs w:val="22"/>
                <w:b w:val="1"/>
                <w:bCs w:val="1"/>
                <w:color w:val="0C0C0C"/>
                <w:w w:val="95"/>
              </w:rPr>
              <w:t xml:space="preserve">2025 </w:t>
            </w:r>
            <w:r>
              <w:rPr>
                <w:rFonts w:ascii="宋体" w:cs="宋体" w:eastAsia="宋体" w:hAnsi="宋体"/>
                <w:sz w:val="22"/>
                <w:szCs w:val="22"/>
                <w:b w:val="1"/>
                <w:bCs w:val="1"/>
                <w:color w:val="0C0C0C"/>
                <w:w w:val="95"/>
              </w:rPr>
              <w:t>年目标</w:t>
            </w:r>
          </w:p>
        </w:tc>
        <w:tc>
          <w:tcPr>
            <w:tcW w:w="0" w:type="dxa"/>
            <w:vAlign w:val="bottom"/>
          </w:tcPr>
          <w:p>
            <w:pPr>
              <w:spacing w:after="0"/>
              <w:rPr>
                <w:sz w:val="1"/>
                <w:szCs w:val="1"/>
                <w:color w:val="auto"/>
              </w:rPr>
            </w:pPr>
          </w:p>
        </w:tc>
      </w:tr>
      <w:tr>
        <w:trPr>
          <w:trHeight w:val="66"/>
        </w:trPr>
        <w:tc>
          <w:tcPr>
            <w:tcW w:w="940" w:type="dxa"/>
            <w:vAlign w:val="bottom"/>
            <w:tcBorders>
              <w:left w:val="single" w:sz="8" w:color="auto"/>
              <w:bottom w:val="single" w:sz="8" w:color="auto"/>
              <w:right w:val="single" w:sz="8" w:color="auto"/>
            </w:tcBorders>
          </w:tcPr>
          <w:p>
            <w:pPr>
              <w:spacing w:after="0"/>
              <w:rPr>
                <w:sz w:val="5"/>
                <w:szCs w:val="5"/>
                <w:color w:val="auto"/>
              </w:rPr>
            </w:pPr>
          </w:p>
        </w:tc>
        <w:tc>
          <w:tcPr>
            <w:tcW w:w="660" w:type="dxa"/>
            <w:vAlign w:val="bottom"/>
            <w:tcBorders>
              <w:bottom w:val="single" w:sz="8" w:color="auto"/>
              <w:right w:val="single" w:sz="8" w:color="auto"/>
            </w:tcBorders>
          </w:tcPr>
          <w:p>
            <w:pPr>
              <w:spacing w:after="0"/>
              <w:rPr>
                <w:sz w:val="5"/>
                <w:szCs w:val="5"/>
                <w:color w:val="auto"/>
              </w:rPr>
            </w:pPr>
          </w:p>
        </w:tc>
        <w:tc>
          <w:tcPr>
            <w:tcW w:w="3160" w:type="dxa"/>
            <w:vAlign w:val="bottom"/>
            <w:tcBorders>
              <w:bottom w:val="single" w:sz="8" w:color="auto"/>
              <w:right w:val="single" w:sz="8" w:color="auto"/>
            </w:tcBorders>
          </w:tcPr>
          <w:p>
            <w:pPr>
              <w:spacing w:after="0"/>
              <w:rPr>
                <w:sz w:val="5"/>
                <w:szCs w:val="5"/>
                <w:color w:val="auto"/>
              </w:rPr>
            </w:pPr>
          </w:p>
        </w:tc>
        <w:tc>
          <w:tcPr>
            <w:tcW w:w="1460" w:type="dxa"/>
            <w:vAlign w:val="bottom"/>
            <w:tcBorders>
              <w:bottom w:val="single" w:sz="8" w:color="auto"/>
              <w:right w:val="single" w:sz="8" w:color="auto"/>
            </w:tcBorders>
          </w:tcPr>
          <w:p>
            <w:pPr>
              <w:spacing w:after="0"/>
              <w:rPr>
                <w:sz w:val="5"/>
                <w:szCs w:val="5"/>
                <w:color w:val="auto"/>
              </w:rPr>
            </w:pPr>
          </w:p>
        </w:tc>
        <w:tc>
          <w:tcPr>
            <w:tcW w:w="2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96"/>
        </w:trPr>
        <w:tc>
          <w:tcPr>
            <w:tcW w:w="940" w:type="dxa"/>
            <w:vAlign w:val="bottom"/>
            <w:tcBorders>
              <w:left w:val="single" w:sz="8" w:color="auto"/>
              <w:right w:val="single" w:sz="8" w:color="auto"/>
            </w:tcBorders>
          </w:tcPr>
          <w:p>
            <w:pPr>
              <w:spacing w:after="0"/>
              <w:rPr>
                <w:sz w:val="24"/>
                <w:szCs w:val="24"/>
                <w:color w:val="auto"/>
              </w:rPr>
            </w:pPr>
          </w:p>
        </w:tc>
        <w:tc>
          <w:tcPr>
            <w:tcW w:w="6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2"/>
                <w:szCs w:val="22"/>
                <w:color w:val="0C0C0C"/>
                <w:w w:val="97"/>
              </w:rPr>
              <w:t>1</w:t>
            </w:r>
          </w:p>
        </w:tc>
        <w:tc>
          <w:tcPr>
            <w:tcW w:w="3160" w:type="dxa"/>
            <w:vAlign w:val="bottom"/>
            <w:tcBorders>
              <w:right w:val="single" w:sz="8" w:color="auto"/>
            </w:tcBorders>
          </w:tcPr>
          <w:p>
            <w:pPr>
              <w:ind w:left="100"/>
              <w:spacing w:after="0" w:line="251" w:lineRule="exact"/>
              <w:rPr>
                <w:sz w:val="20"/>
                <w:szCs w:val="20"/>
                <w:color w:val="auto"/>
              </w:rPr>
            </w:pPr>
            <w:r>
              <w:rPr>
                <w:rFonts w:ascii="宋体" w:cs="宋体" w:eastAsia="宋体" w:hAnsi="宋体"/>
                <w:sz w:val="22"/>
                <w:szCs w:val="22"/>
                <w:color w:val="0C0C0C"/>
              </w:rPr>
              <w:t>城市基础设施建设投资占全社</w:t>
            </w:r>
          </w:p>
        </w:tc>
        <w:tc>
          <w:tcPr>
            <w:tcW w:w="14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2"/>
                <w:szCs w:val="22"/>
                <w:color w:val="0C0C0C"/>
              </w:rPr>
              <w:t>6.65</w:t>
            </w:r>
          </w:p>
        </w:tc>
        <w:tc>
          <w:tcPr>
            <w:tcW w:w="28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2"/>
                <w:szCs w:val="22"/>
                <w:color w:val="0C0C0C"/>
              </w:rPr>
              <w:t>≥8</w:t>
            </w:r>
          </w:p>
        </w:tc>
        <w:tc>
          <w:tcPr>
            <w:tcW w:w="0" w:type="dxa"/>
            <w:vAlign w:val="bottom"/>
          </w:tcPr>
          <w:p>
            <w:pPr>
              <w:spacing w:after="0"/>
              <w:rPr>
                <w:sz w:val="1"/>
                <w:szCs w:val="1"/>
                <w:color w:val="auto"/>
              </w:rPr>
            </w:pPr>
          </w:p>
        </w:tc>
      </w:tr>
      <w:tr>
        <w:trPr>
          <w:trHeight w:val="180"/>
        </w:trPr>
        <w:tc>
          <w:tcPr>
            <w:tcW w:w="940" w:type="dxa"/>
            <w:vAlign w:val="bottom"/>
            <w:tcBorders>
              <w:left w:val="single" w:sz="8" w:color="auto"/>
              <w:right w:val="single" w:sz="8" w:color="auto"/>
            </w:tcBorders>
          </w:tcPr>
          <w:p>
            <w:pPr>
              <w:spacing w:after="0"/>
              <w:rPr>
                <w:sz w:val="15"/>
                <w:szCs w:val="15"/>
                <w:color w:val="auto"/>
              </w:rPr>
            </w:pPr>
          </w:p>
        </w:tc>
        <w:tc>
          <w:tcPr>
            <w:tcW w:w="660" w:type="dxa"/>
            <w:vAlign w:val="bottom"/>
            <w:tcBorders>
              <w:right w:val="single" w:sz="8" w:color="auto"/>
            </w:tcBorders>
            <w:vMerge w:val="continue"/>
          </w:tcPr>
          <w:p>
            <w:pPr>
              <w:spacing w:after="0"/>
              <w:rPr>
                <w:sz w:val="15"/>
                <w:szCs w:val="15"/>
                <w:color w:val="auto"/>
              </w:rPr>
            </w:pPr>
          </w:p>
        </w:tc>
        <w:tc>
          <w:tcPr>
            <w:tcW w:w="3160" w:type="dxa"/>
            <w:vAlign w:val="bottom"/>
            <w:tcBorders>
              <w:right w:val="single" w:sz="8" w:color="auto"/>
            </w:tcBorders>
            <w:vMerge w:val="restart"/>
          </w:tcPr>
          <w:p>
            <w:pPr>
              <w:ind w:left="100"/>
              <w:spacing w:after="0" w:line="267" w:lineRule="exact"/>
              <w:rPr>
                <w:sz w:val="20"/>
                <w:szCs w:val="20"/>
                <w:color w:val="auto"/>
              </w:rPr>
            </w:pPr>
            <w:r>
              <w:rPr>
                <w:rFonts w:ascii="宋体" w:cs="宋体" w:eastAsia="宋体" w:hAnsi="宋体"/>
                <w:sz w:val="22"/>
                <w:szCs w:val="22"/>
                <w:color w:val="0C0C0C"/>
              </w:rPr>
              <w:t>会固定资产投资比重（</w:t>
            </w:r>
            <w:r>
              <w:rPr>
                <w:rFonts w:ascii="Arial" w:cs="Arial" w:eastAsia="Arial" w:hAnsi="Arial"/>
                <w:sz w:val="22"/>
                <w:szCs w:val="22"/>
                <w:color w:val="0C0C0C"/>
              </w:rPr>
              <w:t>%</w:t>
            </w:r>
            <w:r>
              <w:rPr>
                <w:rFonts w:ascii="宋体" w:cs="宋体" w:eastAsia="宋体" w:hAnsi="宋体"/>
                <w:sz w:val="22"/>
                <w:szCs w:val="22"/>
                <w:color w:val="0C0C0C"/>
              </w:rPr>
              <w:t>）</w:t>
            </w:r>
          </w:p>
        </w:tc>
        <w:tc>
          <w:tcPr>
            <w:tcW w:w="1460" w:type="dxa"/>
            <w:vAlign w:val="bottom"/>
            <w:tcBorders>
              <w:right w:val="single" w:sz="8" w:color="auto"/>
            </w:tcBorders>
            <w:vMerge w:val="continue"/>
          </w:tcPr>
          <w:p>
            <w:pPr>
              <w:spacing w:after="0"/>
              <w:rPr>
                <w:sz w:val="15"/>
                <w:szCs w:val="15"/>
                <w:color w:val="auto"/>
              </w:rPr>
            </w:pPr>
          </w:p>
        </w:tc>
        <w:tc>
          <w:tcPr>
            <w:tcW w:w="286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61"/>
        </w:trPr>
        <w:tc>
          <w:tcPr>
            <w:tcW w:w="940" w:type="dxa"/>
            <w:vAlign w:val="bottom"/>
            <w:tcBorders>
              <w:left w:val="single" w:sz="8" w:color="auto"/>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0C0C0C"/>
                <w:w w:val="99"/>
              </w:rPr>
              <w:t>综合类</w:t>
            </w:r>
          </w:p>
        </w:tc>
        <w:tc>
          <w:tcPr>
            <w:tcW w:w="660" w:type="dxa"/>
            <w:vAlign w:val="bottom"/>
            <w:tcBorders>
              <w:right w:val="single" w:sz="8" w:color="auto"/>
            </w:tcBorders>
          </w:tcPr>
          <w:p>
            <w:pPr>
              <w:spacing w:after="0"/>
              <w:rPr>
                <w:sz w:val="13"/>
                <w:szCs w:val="13"/>
                <w:color w:val="auto"/>
              </w:rPr>
            </w:pPr>
          </w:p>
        </w:tc>
        <w:tc>
          <w:tcPr>
            <w:tcW w:w="3160" w:type="dxa"/>
            <w:vAlign w:val="bottom"/>
            <w:tcBorders>
              <w:right w:val="single" w:sz="8" w:color="auto"/>
            </w:tcBorders>
            <w:vMerge w:val="continue"/>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28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3"/>
        </w:trPr>
        <w:tc>
          <w:tcPr>
            <w:tcW w:w="940" w:type="dxa"/>
            <w:vAlign w:val="bottom"/>
            <w:tcBorders>
              <w:left w:val="single" w:sz="8" w:color="auto"/>
              <w:right w:val="single" w:sz="8" w:color="auto"/>
            </w:tcBorders>
            <w:vMerge w:val="continue"/>
          </w:tcPr>
          <w:p>
            <w:pPr>
              <w:spacing w:after="0"/>
              <w:rPr>
                <w:sz w:val="2"/>
                <w:szCs w:val="2"/>
                <w:color w:val="auto"/>
              </w:rPr>
            </w:pPr>
          </w:p>
        </w:tc>
        <w:tc>
          <w:tcPr>
            <w:tcW w:w="660" w:type="dxa"/>
            <w:vAlign w:val="bottom"/>
            <w:tcBorders>
              <w:bottom w:val="single" w:sz="8" w:color="auto"/>
              <w:right w:val="single" w:sz="8" w:color="auto"/>
            </w:tcBorders>
          </w:tcPr>
          <w:p>
            <w:pPr>
              <w:spacing w:after="0"/>
              <w:rPr>
                <w:sz w:val="2"/>
                <w:szCs w:val="2"/>
                <w:color w:val="auto"/>
              </w:rPr>
            </w:pPr>
          </w:p>
        </w:tc>
        <w:tc>
          <w:tcPr>
            <w:tcW w:w="3160" w:type="dxa"/>
            <w:vAlign w:val="bottom"/>
            <w:tcBorders>
              <w:bottom w:val="single" w:sz="8" w:color="auto"/>
              <w:right w:val="single" w:sz="8" w:color="auto"/>
            </w:tcBorders>
          </w:tcPr>
          <w:p>
            <w:pPr>
              <w:spacing w:after="0"/>
              <w:rPr>
                <w:sz w:val="2"/>
                <w:szCs w:val="2"/>
                <w:color w:val="auto"/>
              </w:rPr>
            </w:pPr>
          </w:p>
        </w:tc>
        <w:tc>
          <w:tcPr>
            <w:tcW w:w="1460" w:type="dxa"/>
            <w:vAlign w:val="bottom"/>
            <w:tcBorders>
              <w:bottom w:val="single" w:sz="8" w:color="auto"/>
              <w:right w:val="single" w:sz="8" w:color="auto"/>
            </w:tcBorders>
          </w:tcPr>
          <w:p>
            <w:pPr>
              <w:spacing w:after="0"/>
              <w:rPr>
                <w:sz w:val="2"/>
                <w:szCs w:val="2"/>
                <w:color w:val="auto"/>
              </w:rPr>
            </w:pPr>
          </w:p>
        </w:tc>
        <w:tc>
          <w:tcPr>
            <w:tcW w:w="28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65"/>
        </w:trPr>
        <w:tc>
          <w:tcPr>
            <w:tcW w:w="940" w:type="dxa"/>
            <w:vAlign w:val="bottom"/>
            <w:tcBorders>
              <w:left w:val="single" w:sz="8" w:color="auto"/>
              <w:right w:val="single" w:sz="8" w:color="auto"/>
            </w:tcBorders>
            <w:vMerge w:val="continue"/>
          </w:tcPr>
          <w:p>
            <w:pPr>
              <w:spacing w:after="0"/>
              <w:rPr>
                <w:sz w:val="14"/>
                <w:szCs w:val="14"/>
                <w:color w:val="auto"/>
              </w:rPr>
            </w:pPr>
          </w:p>
        </w:tc>
        <w:tc>
          <w:tcPr>
            <w:tcW w:w="6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2"/>
                <w:szCs w:val="22"/>
                <w:color w:val="0C0C0C"/>
                <w:w w:val="97"/>
              </w:rPr>
              <w:t>2</w:t>
            </w:r>
          </w:p>
        </w:tc>
        <w:tc>
          <w:tcPr>
            <w:tcW w:w="3160" w:type="dxa"/>
            <w:vAlign w:val="bottom"/>
            <w:tcBorders>
              <w:right w:val="single" w:sz="8" w:color="auto"/>
            </w:tcBorders>
            <w:vMerge w:val="restart"/>
          </w:tcPr>
          <w:p>
            <w:pPr>
              <w:ind w:left="100"/>
              <w:spacing w:after="0" w:line="267" w:lineRule="exact"/>
              <w:rPr>
                <w:sz w:val="20"/>
                <w:szCs w:val="20"/>
                <w:color w:val="auto"/>
              </w:rPr>
            </w:pPr>
            <w:r>
              <w:rPr>
                <w:rFonts w:ascii="宋体" w:cs="宋体" w:eastAsia="宋体" w:hAnsi="宋体"/>
                <w:sz w:val="22"/>
                <w:szCs w:val="22"/>
                <w:color w:val="0C0C0C"/>
                <w:w w:val="98"/>
              </w:rPr>
              <w:t>城市地下管网普查归档率（</w:t>
            </w:r>
            <w:r>
              <w:rPr>
                <w:rFonts w:ascii="Arial" w:cs="Arial" w:eastAsia="Arial" w:hAnsi="Arial"/>
                <w:sz w:val="22"/>
                <w:szCs w:val="22"/>
                <w:color w:val="0C0C0C"/>
                <w:w w:val="98"/>
              </w:rPr>
              <w:t>%</w:t>
            </w:r>
            <w:r>
              <w:rPr>
                <w:rFonts w:ascii="宋体" w:cs="宋体" w:eastAsia="宋体" w:hAnsi="宋体"/>
                <w:sz w:val="22"/>
                <w:szCs w:val="22"/>
                <w:color w:val="0C0C0C"/>
                <w:w w:val="98"/>
              </w:rPr>
              <w:t>）</w:t>
            </w:r>
          </w:p>
        </w:tc>
        <w:tc>
          <w:tcPr>
            <w:tcW w:w="14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2"/>
                <w:szCs w:val="22"/>
                <w:color w:val="0C0C0C"/>
              </w:rPr>
              <w:t>--</w:t>
            </w:r>
          </w:p>
        </w:tc>
        <w:tc>
          <w:tcPr>
            <w:tcW w:w="28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2"/>
                <w:szCs w:val="22"/>
                <w:color w:val="0C0C0C"/>
                <w:w w:val="92"/>
              </w:rPr>
              <w:t>100</w:t>
            </w:r>
          </w:p>
        </w:tc>
        <w:tc>
          <w:tcPr>
            <w:tcW w:w="0" w:type="dxa"/>
            <w:vAlign w:val="bottom"/>
          </w:tcPr>
          <w:p>
            <w:pPr>
              <w:spacing w:after="0"/>
              <w:rPr>
                <w:sz w:val="1"/>
                <w:szCs w:val="1"/>
                <w:color w:val="auto"/>
              </w:rPr>
            </w:pPr>
          </w:p>
        </w:tc>
      </w:tr>
      <w:tr>
        <w:trPr>
          <w:trHeight w:val="156"/>
        </w:trPr>
        <w:tc>
          <w:tcPr>
            <w:tcW w:w="940" w:type="dxa"/>
            <w:vAlign w:val="bottom"/>
            <w:tcBorders>
              <w:left w:val="single" w:sz="8" w:color="auto"/>
              <w:right w:val="single" w:sz="8" w:color="auto"/>
            </w:tcBorders>
          </w:tcPr>
          <w:p>
            <w:pPr>
              <w:spacing w:after="0"/>
              <w:rPr>
                <w:sz w:val="13"/>
                <w:szCs w:val="13"/>
                <w:color w:val="auto"/>
              </w:rPr>
            </w:pPr>
          </w:p>
        </w:tc>
        <w:tc>
          <w:tcPr>
            <w:tcW w:w="660" w:type="dxa"/>
            <w:vAlign w:val="bottom"/>
            <w:tcBorders>
              <w:right w:val="single" w:sz="8" w:color="auto"/>
            </w:tcBorders>
            <w:vMerge w:val="continue"/>
          </w:tcPr>
          <w:p>
            <w:pPr>
              <w:spacing w:after="0"/>
              <w:rPr>
                <w:sz w:val="13"/>
                <w:szCs w:val="13"/>
                <w:color w:val="auto"/>
              </w:rPr>
            </w:pPr>
          </w:p>
        </w:tc>
        <w:tc>
          <w:tcPr>
            <w:tcW w:w="3160" w:type="dxa"/>
            <w:vAlign w:val="bottom"/>
            <w:tcBorders>
              <w:right w:val="single" w:sz="8" w:color="auto"/>
            </w:tcBorders>
            <w:vMerge w:val="continue"/>
          </w:tcPr>
          <w:p>
            <w:pPr>
              <w:spacing w:after="0"/>
              <w:rPr>
                <w:sz w:val="13"/>
                <w:szCs w:val="13"/>
                <w:color w:val="auto"/>
              </w:rPr>
            </w:pPr>
          </w:p>
        </w:tc>
        <w:tc>
          <w:tcPr>
            <w:tcW w:w="1460" w:type="dxa"/>
            <w:vAlign w:val="bottom"/>
            <w:tcBorders>
              <w:right w:val="single" w:sz="8" w:color="auto"/>
            </w:tcBorders>
            <w:vMerge w:val="continue"/>
          </w:tcPr>
          <w:p>
            <w:pPr>
              <w:spacing w:after="0"/>
              <w:rPr>
                <w:sz w:val="13"/>
                <w:szCs w:val="13"/>
                <w:color w:val="auto"/>
              </w:rPr>
            </w:pPr>
          </w:p>
        </w:tc>
        <w:tc>
          <w:tcPr>
            <w:tcW w:w="28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38"/>
        </w:trPr>
        <w:tc>
          <w:tcPr>
            <w:tcW w:w="940" w:type="dxa"/>
            <w:vAlign w:val="bottom"/>
            <w:tcBorders>
              <w:left w:val="single" w:sz="8" w:color="auto"/>
              <w:right w:val="single" w:sz="8" w:color="auto"/>
            </w:tcBorders>
          </w:tcPr>
          <w:p>
            <w:pPr>
              <w:spacing w:after="0"/>
              <w:rPr>
                <w:sz w:val="3"/>
                <w:szCs w:val="3"/>
                <w:color w:val="auto"/>
              </w:rPr>
            </w:pPr>
          </w:p>
        </w:tc>
        <w:tc>
          <w:tcPr>
            <w:tcW w:w="660" w:type="dxa"/>
            <w:vAlign w:val="bottom"/>
            <w:tcBorders>
              <w:bottom w:val="single" w:sz="8" w:color="auto"/>
              <w:right w:val="single" w:sz="8" w:color="auto"/>
            </w:tcBorders>
          </w:tcPr>
          <w:p>
            <w:pPr>
              <w:spacing w:after="0"/>
              <w:rPr>
                <w:sz w:val="3"/>
                <w:szCs w:val="3"/>
                <w:color w:val="auto"/>
              </w:rPr>
            </w:pPr>
          </w:p>
        </w:tc>
        <w:tc>
          <w:tcPr>
            <w:tcW w:w="3160" w:type="dxa"/>
            <w:vAlign w:val="bottom"/>
            <w:tcBorders>
              <w:bottom w:val="single" w:sz="8" w:color="auto"/>
              <w:right w:val="single" w:sz="8" w:color="auto"/>
            </w:tcBorders>
          </w:tcPr>
          <w:p>
            <w:pPr>
              <w:spacing w:after="0"/>
              <w:rPr>
                <w:sz w:val="3"/>
                <w:szCs w:val="3"/>
                <w:color w:val="auto"/>
              </w:rPr>
            </w:pPr>
          </w:p>
        </w:tc>
        <w:tc>
          <w:tcPr>
            <w:tcW w:w="1460" w:type="dxa"/>
            <w:vAlign w:val="bottom"/>
            <w:tcBorders>
              <w:bottom w:val="single" w:sz="8" w:color="auto"/>
              <w:right w:val="single" w:sz="8" w:color="auto"/>
            </w:tcBorders>
          </w:tcPr>
          <w:p>
            <w:pPr>
              <w:spacing w:after="0"/>
              <w:rPr>
                <w:sz w:val="3"/>
                <w:szCs w:val="3"/>
                <w:color w:val="auto"/>
              </w:rPr>
            </w:pPr>
          </w:p>
        </w:tc>
        <w:tc>
          <w:tcPr>
            <w:tcW w:w="28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21"/>
        </w:trPr>
        <w:tc>
          <w:tcPr>
            <w:tcW w:w="940" w:type="dxa"/>
            <w:vAlign w:val="bottom"/>
            <w:tcBorders>
              <w:left w:val="single" w:sz="8" w:color="auto"/>
              <w:right w:val="single" w:sz="8" w:color="auto"/>
            </w:tcBorders>
          </w:tcPr>
          <w:p>
            <w:pPr>
              <w:spacing w:after="0"/>
              <w:rPr>
                <w:sz w:val="24"/>
                <w:szCs w:val="24"/>
                <w:color w:val="auto"/>
              </w:rPr>
            </w:pPr>
          </w:p>
        </w:tc>
        <w:tc>
          <w:tcPr>
            <w:tcW w:w="66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w w:val="97"/>
              </w:rPr>
              <w:t>3</w:t>
            </w:r>
          </w:p>
        </w:tc>
        <w:tc>
          <w:tcPr>
            <w:tcW w:w="3160" w:type="dxa"/>
            <w:vAlign w:val="bottom"/>
            <w:tcBorders>
              <w:right w:val="single" w:sz="8" w:color="auto"/>
            </w:tcBorders>
          </w:tcPr>
          <w:p>
            <w:pPr>
              <w:ind w:left="100"/>
              <w:spacing w:after="0" w:line="267" w:lineRule="exact"/>
              <w:rPr>
                <w:sz w:val="20"/>
                <w:szCs w:val="20"/>
                <w:color w:val="auto"/>
              </w:rPr>
            </w:pPr>
            <w:r>
              <w:rPr>
                <w:rFonts w:ascii="宋体" w:cs="宋体" w:eastAsia="宋体" w:hAnsi="宋体"/>
                <w:sz w:val="22"/>
                <w:szCs w:val="22"/>
                <w:color w:val="0C0C0C"/>
              </w:rPr>
              <w:t>绿色社区建设比例（</w:t>
            </w:r>
            <w:r>
              <w:rPr>
                <w:rFonts w:ascii="Arial" w:cs="Arial" w:eastAsia="Arial" w:hAnsi="Arial"/>
                <w:sz w:val="22"/>
                <w:szCs w:val="22"/>
                <w:color w:val="0C0C0C"/>
              </w:rPr>
              <w:t>%</w:t>
            </w:r>
            <w:r>
              <w:rPr>
                <w:rFonts w:ascii="宋体" w:cs="宋体" w:eastAsia="宋体" w:hAnsi="宋体"/>
                <w:sz w:val="22"/>
                <w:szCs w:val="22"/>
                <w:color w:val="0C0C0C"/>
              </w:rPr>
              <w:t>）</w:t>
            </w:r>
          </w:p>
        </w:tc>
        <w:tc>
          <w:tcPr>
            <w:tcW w:w="146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rPr>
              <w:t>--</w:t>
            </w:r>
          </w:p>
        </w:tc>
        <w:tc>
          <w:tcPr>
            <w:tcW w:w="286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rPr>
              <w:t>≥60</w:t>
            </w:r>
          </w:p>
        </w:tc>
        <w:tc>
          <w:tcPr>
            <w:tcW w:w="0" w:type="dxa"/>
            <w:vAlign w:val="bottom"/>
          </w:tcPr>
          <w:p>
            <w:pPr>
              <w:spacing w:after="0"/>
              <w:rPr>
                <w:sz w:val="1"/>
                <w:szCs w:val="1"/>
                <w:color w:val="auto"/>
              </w:rPr>
            </w:pPr>
          </w:p>
        </w:tc>
      </w:tr>
      <w:tr>
        <w:trPr>
          <w:trHeight w:val="38"/>
        </w:trPr>
        <w:tc>
          <w:tcPr>
            <w:tcW w:w="940" w:type="dxa"/>
            <w:vAlign w:val="bottom"/>
            <w:tcBorders>
              <w:left w:val="single" w:sz="8" w:color="auto"/>
              <w:bottom w:val="single" w:sz="8" w:color="auto"/>
              <w:right w:val="single" w:sz="8" w:color="auto"/>
            </w:tcBorders>
          </w:tcPr>
          <w:p>
            <w:pPr>
              <w:spacing w:after="0"/>
              <w:rPr>
                <w:sz w:val="3"/>
                <w:szCs w:val="3"/>
                <w:color w:val="auto"/>
              </w:rPr>
            </w:pPr>
          </w:p>
        </w:tc>
        <w:tc>
          <w:tcPr>
            <w:tcW w:w="660" w:type="dxa"/>
            <w:vAlign w:val="bottom"/>
            <w:tcBorders>
              <w:bottom w:val="single" w:sz="8" w:color="auto"/>
              <w:right w:val="single" w:sz="8" w:color="auto"/>
            </w:tcBorders>
          </w:tcPr>
          <w:p>
            <w:pPr>
              <w:spacing w:after="0"/>
              <w:rPr>
                <w:sz w:val="3"/>
                <w:szCs w:val="3"/>
                <w:color w:val="auto"/>
              </w:rPr>
            </w:pPr>
          </w:p>
        </w:tc>
        <w:tc>
          <w:tcPr>
            <w:tcW w:w="3160" w:type="dxa"/>
            <w:vAlign w:val="bottom"/>
            <w:tcBorders>
              <w:bottom w:val="single" w:sz="8" w:color="auto"/>
              <w:right w:val="single" w:sz="8" w:color="auto"/>
            </w:tcBorders>
          </w:tcPr>
          <w:p>
            <w:pPr>
              <w:spacing w:after="0"/>
              <w:rPr>
                <w:sz w:val="3"/>
                <w:szCs w:val="3"/>
                <w:color w:val="auto"/>
              </w:rPr>
            </w:pPr>
          </w:p>
        </w:tc>
        <w:tc>
          <w:tcPr>
            <w:tcW w:w="1460" w:type="dxa"/>
            <w:vAlign w:val="bottom"/>
            <w:tcBorders>
              <w:bottom w:val="single" w:sz="8" w:color="auto"/>
              <w:right w:val="single" w:sz="8" w:color="auto"/>
            </w:tcBorders>
          </w:tcPr>
          <w:p>
            <w:pPr>
              <w:spacing w:after="0"/>
              <w:rPr>
                <w:sz w:val="3"/>
                <w:szCs w:val="3"/>
                <w:color w:val="auto"/>
              </w:rPr>
            </w:pPr>
          </w:p>
        </w:tc>
        <w:tc>
          <w:tcPr>
            <w:tcW w:w="28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97"/>
        </w:trPr>
        <w:tc>
          <w:tcPr>
            <w:tcW w:w="940" w:type="dxa"/>
            <w:vAlign w:val="bottom"/>
            <w:tcBorders>
              <w:left w:val="single" w:sz="8" w:color="auto"/>
              <w:right w:val="single" w:sz="8" w:color="auto"/>
            </w:tcBorders>
          </w:tcPr>
          <w:p>
            <w:pPr>
              <w:spacing w:after="0"/>
              <w:rPr>
                <w:sz w:val="24"/>
                <w:szCs w:val="24"/>
                <w:color w:val="auto"/>
              </w:rPr>
            </w:pPr>
          </w:p>
        </w:tc>
        <w:tc>
          <w:tcPr>
            <w:tcW w:w="6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2"/>
                <w:szCs w:val="22"/>
                <w:color w:val="0C0C0C"/>
                <w:w w:val="97"/>
              </w:rPr>
              <w:t>4</w:t>
            </w:r>
          </w:p>
        </w:tc>
        <w:tc>
          <w:tcPr>
            <w:tcW w:w="3160" w:type="dxa"/>
            <w:vAlign w:val="bottom"/>
            <w:tcBorders>
              <w:right w:val="single" w:sz="8" w:color="auto"/>
            </w:tcBorders>
          </w:tcPr>
          <w:p>
            <w:pPr>
              <w:ind w:left="100"/>
              <w:spacing w:after="0" w:line="267" w:lineRule="exact"/>
              <w:rPr>
                <w:sz w:val="20"/>
                <w:szCs w:val="20"/>
                <w:color w:val="auto"/>
              </w:rPr>
            </w:pPr>
            <w:r>
              <w:rPr>
                <w:rFonts w:ascii="宋体" w:cs="宋体" w:eastAsia="宋体" w:hAnsi="宋体"/>
                <w:sz w:val="22"/>
                <w:szCs w:val="22"/>
                <w:color w:val="0C0C0C"/>
              </w:rPr>
              <w:t>城市建成区路网密度（公里</w:t>
            </w:r>
            <w:r>
              <w:rPr>
                <w:rFonts w:ascii="Arial" w:cs="Arial" w:eastAsia="Arial" w:hAnsi="Arial"/>
                <w:sz w:val="22"/>
                <w:szCs w:val="22"/>
                <w:color w:val="0C0C0C"/>
              </w:rPr>
              <w:t>/</w:t>
            </w:r>
            <w:r>
              <w:rPr>
                <w:rFonts w:ascii="宋体" w:cs="宋体" w:eastAsia="宋体" w:hAnsi="宋体"/>
                <w:sz w:val="22"/>
                <w:szCs w:val="22"/>
                <w:color w:val="0C0C0C"/>
              </w:rPr>
              <w:t>平</w:t>
            </w:r>
          </w:p>
        </w:tc>
        <w:tc>
          <w:tcPr>
            <w:tcW w:w="14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2"/>
                <w:szCs w:val="22"/>
                <w:color w:val="0C0C0C"/>
              </w:rPr>
              <w:t>7.07</w:t>
            </w:r>
          </w:p>
        </w:tc>
        <w:tc>
          <w:tcPr>
            <w:tcW w:w="2860" w:type="dxa"/>
            <w:vAlign w:val="bottom"/>
            <w:tcBorders>
              <w:right w:val="single" w:sz="8" w:color="auto"/>
            </w:tcBorders>
            <w:vMerge w:val="restart"/>
          </w:tcPr>
          <w:p>
            <w:pPr>
              <w:jc w:val="center"/>
              <w:spacing w:after="0" w:line="267" w:lineRule="exact"/>
              <w:rPr>
                <w:sz w:val="20"/>
                <w:szCs w:val="20"/>
                <w:color w:val="auto"/>
              </w:rPr>
            </w:pPr>
            <w:r>
              <w:rPr>
                <w:rFonts w:ascii="Arial" w:cs="Arial" w:eastAsia="Arial" w:hAnsi="Arial"/>
                <w:sz w:val="22"/>
                <w:szCs w:val="22"/>
                <w:color w:val="0C0C0C"/>
              </w:rPr>
              <w:t>≥8</w:t>
            </w:r>
            <w:r>
              <w:rPr>
                <w:rFonts w:ascii="宋体" w:cs="宋体" w:eastAsia="宋体" w:hAnsi="宋体"/>
                <w:sz w:val="22"/>
                <w:szCs w:val="22"/>
                <w:color w:val="0C0C0C"/>
              </w:rPr>
              <w:t>（见注</w:t>
            </w:r>
            <w:r>
              <w:rPr>
                <w:rFonts w:ascii="MS PGothic" w:cs="MS PGothic" w:eastAsia="MS PGothic" w:hAnsi="MS PGothic"/>
                <w:sz w:val="22"/>
                <w:szCs w:val="22"/>
                <w:color w:val="0C0C0C"/>
              </w:rPr>
              <w:t>③</w:t>
            </w:r>
            <w:r>
              <w:rPr>
                <w:rFonts w:ascii="宋体" w:cs="宋体" w:eastAsia="宋体" w:hAnsi="宋体"/>
                <w:sz w:val="22"/>
                <w:szCs w:val="22"/>
                <w:color w:val="0C0C0C"/>
              </w:rPr>
              <w:t>）</w:t>
            </w:r>
          </w:p>
        </w:tc>
        <w:tc>
          <w:tcPr>
            <w:tcW w:w="0" w:type="dxa"/>
            <w:vAlign w:val="bottom"/>
          </w:tcPr>
          <w:p>
            <w:pPr>
              <w:spacing w:after="0"/>
              <w:rPr>
                <w:sz w:val="1"/>
                <w:szCs w:val="1"/>
                <w:color w:val="auto"/>
              </w:rPr>
            </w:pPr>
          </w:p>
        </w:tc>
      </w:tr>
      <w:tr>
        <w:trPr>
          <w:trHeight w:val="180"/>
        </w:trPr>
        <w:tc>
          <w:tcPr>
            <w:tcW w:w="940" w:type="dxa"/>
            <w:vAlign w:val="bottom"/>
            <w:tcBorders>
              <w:left w:val="single" w:sz="8" w:color="auto"/>
              <w:right w:val="single" w:sz="8" w:color="auto"/>
            </w:tcBorders>
          </w:tcPr>
          <w:p>
            <w:pPr>
              <w:spacing w:after="0"/>
              <w:rPr>
                <w:sz w:val="15"/>
                <w:szCs w:val="15"/>
                <w:color w:val="auto"/>
              </w:rPr>
            </w:pPr>
          </w:p>
        </w:tc>
        <w:tc>
          <w:tcPr>
            <w:tcW w:w="660" w:type="dxa"/>
            <w:vAlign w:val="bottom"/>
            <w:tcBorders>
              <w:right w:val="single" w:sz="8" w:color="auto"/>
            </w:tcBorders>
            <w:vMerge w:val="continue"/>
          </w:tcPr>
          <w:p>
            <w:pPr>
              <w:spacing w:after="0"/>
              <w:rPr>
                <w:sz w:val="15"/>
                <w:szCs w:val="15"/>
                <w:color w:val="auto"/>
              </w:rPr>
            </w:pPr>
          </w:p>
        </w:tc>
        <w:tc>
          <w:tcPr>
            <w:tcW w:w="3160" w:type="dxa"/>
            <w:vAlign w:val="bottom"/>
            <w:tcBorders>
              <w:right w:val="single" w:sz="8" w:color="auto"/>
            </w:tcBorders>
            <w:vMerge w:val="restart"/>
          </w:tcPr>
          <w:p>
            <w:pPr>
              <w:ind w:left="100"/>
              <w:spacing w:after="0" w:line="251" w:lineRule="exact"/>
              <w:rPr>
                <w:sz w:val="20"/>
                <w:szCs w:val="20"/>
                <w:color w:val="auto"/>
              </w:rPr>
            </w:pPr>
            <w:r>
              <w:rPr>
                <w:rFonts w:ascii="宋体" w:cs="宋体" w:eastAsia="宋体" w:hAnsi="宋体"/>
                <w:sz w:val="22"/>
                <w:szCs w:val="22"/>
                <w:color w:val="0C0C0C"/>
              </w:rPr>
              <w:t>方公里）</w:t>
            </w:r>
          </w:p>
        </w:tc>
        <w:tc>
          <w:tcPr>
            <w:tcW w:w="1460" w:type="dxa"/>
            <w:vAlign w:val="bottom"/>
            <w:tcBorders>
              <w:right w:val="single" w:sz="8" w:color="auto"/>
            </w:tcBorders>
            <w:vMerge w:val="continue"/>
          </w:tcPr>
          <w:p>
            <w:pPr>
              <w:spacing w:after="0"/>
              <w:rPr>
                <w:sz w:val="15"/>
                <w:szCs w:val="15"/>
                <w:color w:val="auto"/>
              </w:rPr>
            </w:pPr>
          </w:p>
        </w:tc>
        <w:tc>
          <w:tcPr>
            <w:tcW w:w="286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58"/>
        </w:trPr>
        <w:tc>
          <w:tcPr>
            <w:tcW w:w="940" w:type="dxa"/>
            <w:vAlign w:val="bottom"/>
            <w:tcBorders>
              <w:left w:val="single" w:sz="8" w:color="auto"/>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0C0C0C"/>
                <w:w w:val="99"/>
              </w:rPr>
              <w:t>交通</w:t>
            </w:r>
          </w:p>
        </w:tc>
        <w:tc>
          <w:tcPr>
            <w:tcW w:w="660" w:type="dxa"/>
            <w:vAlign w:val="bottom"/>
            <w:tcBorders>
              <w:right w:val="single" w:sz="8" w:color="auto"/>
            </w:tcBorders>
          </w:tcPr>
          <w:p>
            <w:pPr>
              <w:spacing w:after="0"/>
              <w:rPr>
                <w:sz w:val="13"/>
                <w:szCs w:val="13"/>
                <w:color w:val="auto"/>
              </w:rPr>
            </w:pPr>
          </w:p>
        </w:tc>
        <w:tc>
          <w:tcPr>
            <w:tcW w:w="3160" w:type="dxa"/>
            <w:vAlign w:val="bottom"/>
            <w:tcBorders>
              <w:right w:val="single" w:sz="8" w:color="auto"/>
            </w:tcBorders>
            <w:vMerge w:val="continue"/>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28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4"/>
        </w:trPr>
        <w:tc>
          <w:tcPr>
            <w:tcW w:w="940" w:type="dxa"/>
            <w:vAlign w:val="bottom"/>
            <w:tcBorders>
              <w:left w:val="single" w:sz="8" w:color="auto"/>
              <w:right w:val="single" w:sz="8" w:color="auto"/>
            </w:tcBorders>
            <w:vMerge w:val="continue"/>
          </w:tcPr>
          <w:p>
            <w:pPr>
              <w:spacing w:after="0"/>
              <w:rPr>
                <w:sz w:val="2"/>
                <w:szCs w:val="2"/>
                <w:color w:val="auto"/>
              </w:rPr>
            </w:pPr>
          </w:p>
        </w:tc>
        <w:tc>
          <w:tcPr>
            <w:tcW w:w="660" w:type="dxa"/>
            <w:vAlign w:val="bottom"/>
            <w:tcBorders>
              <w:bottom w:val="single" w:sz="8" w:color="auto"/>
              <w:right w:val="single" w:sz="8" w:color="auto"/>
            </w:tcBorders>
          </w:tcPr>
          <w:p>
            <w:pPr>
              <w:spacing w:after="0"/>
              <w:rPr>
                <w:sz w:val="2"/>
                <w:szCs w:val="2"/>
                <w:color w:val="auto"/>
              </w:rPr>
            </w:pPr>
          </w:p>
        </w:tc>
        <w:tc>
          <w:tcPr>
            <w:tcW w:w="3160" w:type="dxa"/>
            <w:vAlign w:val="bottom"/>
            <w:tcBorders>
              <w:bottom w:val="single" w:sz="8" w:color="auto"/>
              <w:right w:val="single" w:sz="8" w:color="auto"/>
            </w:tcBorders>
          </w:tcPr>
          <w:p>
            <w:pPr>
              <w:spacing w:after="0"/>
              <w:rPr>
                <w:sz w:val="2"/>
                <w:szCs w:val="2"/>
                <w:color w:val="auto"/>
              </w:rPr>
            </w:pPr>
          </w:p>
        </w:tc>
        <w:tc>
          <w:tcPr>
            <w:tcW w:w="1460" w:type="dxa"/>
            <w:vAlign w:val="bottom"/>
            <w:tcBorders>
              <w:bottom w:val="single" w:sz="8" w:color="auto"/>
              <w:right w:val="single" w:sz="8" w:color="auto"/>
            </w:tcBorders>
          </w:tcPr>
          <w:p>
            <w:pPr>
              <w:spacing w:after="0"/>
              <w:rPr>
                <w:sz w:val="2"/>
                <w:szCs w:val="2"/>
                <w:color w:val="auto"/>
              </w:rPr>
            </w:pPr>
          </w:p>
        </w:tc>
        <w:tc>
          <w:tcPr>
            <w:tcW w:w="28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92"/>
        </w:trPr>
        <w:tc>
          <w:tcPr>
            <w:tcW w:w="940" w:type="dxa"/>
            <w:vAlign w:val="bottom"/>
            <w:tcBorders>
              <w:left w:val="single" w:sz="8" w:color="auto"/>
              <w:right w:val="single" w:sz="8" w:color="auto"/>
            </w:tcBorders>
            <w:vMerge w:val="continue"/>
          </w:tcPr>
          <w:p>
            <w:pPr>
              <w:spacing w:after="0"/>
              <w:rPr>
                <w:sz w:val="8"/>
                <w:szCs w:val="8"/>
                <w:color w:val="auto"/>
              </w:rPr>
            </w:pPr>
          </w:p>
        </w:tc>
        <w:tc>
          <w:tcPr>
            <w:tcW w:w="660" w:type="dxa"/>
            <w:vAlign w:val="bottom"/>
            <w:tcBorders>
              <w:right w:val="single" w:sz="8" w:color="auto"/>
            </w:tcBorders>
          </w:tcPr>
          <w:p>
            <w:pPr>
              <w:spacing w:after="0"/>
              <w:rPr>
                <w:sz w:val="8"/>
                <w:szCs w:val="8"/>
                <w:color w:val="auto"/>
              </w:rPr>
            </w:pPr>
          </w:p>
        </w:tc>
        <w:tc>
          <w:tcPr>
            <w:tcW w:w="3160" w:type="dxa"/>
            <w:vAlign w:val="bottom"/>
            <w:tcBorders>
              <w:right w:val="single" w:sz="8" w:color="auto"/>
            </w:tcBorders>
            <w:vMerge w:val="restart"/>
          </w:tcPr>
          <w:p>
            <w:pPr>
              <w:ind w:left="100"/>
              <w:spacing w:after="0" w:line="267" w:lineRule="exact"/>
              <w:rPr>
                <w:sz w:val="20"/>
                <w:szCs w:val="20"/>
                <w:color w:val="auto"/>
              </w:rPr>
            </w:pPr>
            <w:r>
              <w:rPr>
                <w:rFonts w:ascii="宋体" w:cs="宋体" w:eastAsia="宋体" w:hAnsi="宋体"/>
                <w:sz w:val="22"/>
                <w:szCs w:val="22"/>
                <w:color w:val="0C0C0C"/>
              </w:rPr>
              <w:t>轨道站点</w:t>
            </w:r>
            <w:r>
              <w:rPr>
                <w:rFonts w:ascii="Arial" w:cs="Arial" w:eastAsia="Arial" w:hAnsi="Arial"/>
                <w:sz w:val="22"/>
                <w:szCs w:val="22"/>
                <w:color w:val="0C0C0C"/>
              </w:rPr>
              <w:t xml:space="preserve"> 800 </w:t>
            </w:r>
            <w:r>
              <w:rPr>
                <w:rFonts w:ascii="宋体" w:cs="宋体" w:eastAsia="宋体" w:hAnsi="宋体"/>
                <w:sz w:val="22"/>
                <w:szCs w:val="22"/>
                <w:color w:val="0C0C0C"/>
              </w:rPr>
              <w:t>米半径覆盖通勤</w:t>
            </w:r>
          </w:p>
        </w:tc>
        <w:tc>
          <w:tcPr>
            <w:tcW w:w="1460" w:type="dxa"/>
            <w:vAlign w:val="bottom"/>
            <w:tcBorders>
              <w:right w:val="single" w:sz="8" w:color="auto"/>
            </w:tcBorders>
            <w:vMerge w:val="restart"/>
          </w:tcPr>
          <w:p>
            <w:pPr>
              <w:jc w:val="center"/>
              <w:spacing w:after="0" w:line="267" w:lineRule="exact"/>
              <w:rPr>
                <w:sz w:val="20"/>
                <w:szCs w:val="20"/>
                <w:color w:val="auto"/>
              </w:rPr>
            </w:pPr>
            <w:r>
              <w:rPr>
                <w:rFonts w:ascii="宋体" w:cs="宋体" w:eastAsia="宋体" w:hAnsi="宋体"/>
                <w:sz w:val="22"/>
                <w:szCs w:val="22"/>
                <w:color w:val="0C0C0C"/>
                <w:w w:val="96"/>
              </w:rPr>
              <w:t>超大城市</w:t>
            </w:r>
            <w:r>
              <w:rPr>
                <w:rFonts w:ascii="Arial" w:cs="Arial" w:eastAsia="Arial" w:hAnsi="Arial"/>
                <w:sz w:val="22"/>
                <w:szCs w:val="22"/>
                <w:color w:val="0C0C0C"/>
                <w:w w:val="96"/>
              </w:rPr>
              <w:t xml:space="preserve"> 26</w:t>
            </w:r>
          </w:p>
        </w:tc>
        <w:tc>
          <w:tcPr>
            <w:tcW w:w="2860" w:type="dxa"/>
            <w:vAlign w:val="bottom"/>
            <w:tcBorders>
              <w:right w:val="single" w:sz="8" w:color="auto"/>
            </w:tcBorders>
            <w:vMerge w:val="restart"/>
          </w:tcPr>
          <w:p>
            <w:pPr>
              <w:jc w:val="center"/>
              <w:spacing w:after="0" w:line="267" w:lineRule="exact"/>
              <w:rPr>
                <w:sz w:val="20"/>
                <w:szCs w:val="20"/>
                <w:color w:val="auto"/>
              </w:rPr>
            </w:pPr>
            <w:r>
              <w:rPr>
                <w:rFonts w:ascii="宋体" w:cs="宋体" w:eastAsia="宋体" w:hAnsi="宋体"/>
                <w:sz w:val="22"/>
                <w:szCs w:val="22"/>
                <w:color w:val="0C0C0C"/>
              </w:rPr>
              <w:t>超大城市</w:t>
            </w:r>
            <w:r>
              <w:rPr>
                <w:rFonts w:ascii="Arial" w:cs="Arial" w:eastAsia="Arial" w:hAnsi="Arial"/>
                <w:sz w:val="22"/>
                <w:szCs w:val="22"/>
                <w:color w:val="0C0C0C"/>
              </w:rPr>
              <w:t>≥30</w:t>
            </w:r>
          </w:p>
        </w:tc>
        <w:tc>
          <w:tcPr>
            <w:tcW w:w="0" w:type="dxa"/>
            <w:vAlign w:val="bottom"/>
          </w:tcPr>
          <w:p>
            <w:pPr>
              <w:spacing w:after="0"/>
              <w:rPr>
                <w:sz w:val="1"/>
                <w:szCs w:val="1"/>
                <w:color w:val="auto"/>
              </w:rPr>
            </w:pPr>
          </w:p>
        </w:tc>
      </w:tr>
      <w:tr>
        <w:trPr>
          <w:trHeight w:val="185"/>
        </w:trPr>
        <w:tc>
          <w:tcPr>
            <w:tcW w:w="940" w:type="dxa"/>
            <w:vAlign w:val="bottom"/>
            <w:tcBorders>
              <w:left w:val="single" w:sz="8" w:color="auto"/>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0C0C0C"/>
                <w:w w:val="99"/>
              </w:rPr>
              <w:t>系统</w:t>
            </w:r>
          </w:p>
        </w:tc>
        <w:tc>
          <w:tcPr>
            <w:tcW w:w="660" w:type="dxa"/>
            <w:vAlign w:val="bottom"/>
            <w:tcBorders>
              <w:right w:val="single" w:sz="8" w:color="auto"/>
            </w:tcBorders>
          </w:tcPr>
          <w:p>
            <w:pPr>
              <w:spacing w:after="0"/>
              <w:rPr>
                <w:sz w:val="16"/>
                <w:szCs w:val="16"/>
                <w:color w:val="auto"/>
              </w:rPr>
            </w:pPr>
          </w:p>
        </w:tc>
        <w:tc>
          <w:tcPr>
            <w:tcW w:w="3160" w:type="dxa"/>
            <w:vAlign w:val="bottom"/>
            <w:tcBorders>
              <w:right w:val="single" w:sz="8" w:color="auto"/>
            </w:tcBorders>
            <w:vMerge w:val="continue"/>
          </w:tcPr>
          <w:p>
            <w:pPr>
              <w:spacing w:after="0"/>
              <w:rPr>
                <w:sz w:val="16"/>
                <w:szCs w:val="16"/>
                <w:color w:val="auto"/>
              </w:rPr>
            </w:pPr>
          </w:p>
        </w:tc>
        <w:tc>
          <w:tcPr>
            <w:tcW w:w="1460" w:type="dxa"/>
            <w:vAlign w:val="bottom"/>
            <w:tcBorders>
              <w:right w:val="single" w:sz="8" w:color="auto"/>
            </w:tcBorders>
            <w:vMerge w:val="continue"/>
          </w:tcPr>
          <w:p>
            <w:pPr>
              <w:spacing w:after="0"/>
              <w:rPr>
                <w:sz w:val="16"/>
                <w:szCs w:val="16"/>
                <w:color w:val="auto"/>
              </w:rPr>
            </w:pPr>
          </w:p>
        </w:tc>
        <w:tc>
          <w:tcPr>
            <w:tcW w:w="286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75"/>
        </w:trPr>
        <w:tc>
          <w:tcPr>
            <w:tcW w:w="940" w:type="dxa"/>
            <w:vAlign w:val="bottom"/>
            <w:tcBorders>
              <w:left w:val="single" w:sz="8" w:color="auto"/>
              <w:right w:val="single" w:sz="8" w:color="auto"/>
            </w:tcBorders>
            <w:vMerge w:val="continue"/>
          </w:tcPr>
          <w:p>
            <w:pPr>
              <w:spacing w:after="0"/>
              <w:rPr>
                <w:sz w:val="15"/>
                <w:szCs w:val="15"/>
                <w:color w:val="auto"/>
              </w:rPr>
            </w:pPr>
          </w:p>
        </w:tc>
        <w:tc>
          <w:tcPr>
            <w:tcW w:w="6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2"/>
                <w:szCs w:val="22"/>
                <w:color w:val="0C0C0C"/>
                <w:w w:val="97"/>
              </w:rPr>
              <w:t>5</w:t>
            </w:r>
          </w:p>
        </w:tc>
        <w:tc>
          <w:tcPr>
            <w:tcW w:w="3160" w:type="dxa"/>
            <w:vAlign w:val="bottom"/>
            <w:tcBorders>
              <w:right w:val="single" w:sz="8" w:color="auto"/>
            </w:tcBorders>
            <w:vMerge w:val="continue"/>
          </w:tcPr>
          <w:p>
            <w:pPr>
              <w:spacing w:after="0"/>
              <w:rPr>
                <w:sz w:val="15"/>
                <w:szCs w:val="15"/>
                <w:color w:val="auto"/>
              </w:rPr>
            </w:pPr>
          </w:p>
        </w:tc>
        <w:tc>
          <w:tcPr>
            <w:tcW w:w="1460" w:type="dxa"/>
            <w:vAlign w:val="bottom"/>
            <w:tcBorders>
              <w:right w:val="single" w:sz="8" w:color="auto"/>
            </w:tcBorders>
            <w:vMerge w:val="restart"/>
          </w:tcPr>
          <w:p>
            <w:pPr>
              <w:jc w:val="center"/>
              <w:spacing w:after="0" w:line="267" w:lineRule="exact"/>
              <w:rPr>
                <w:sz w:val="20"/>
                <w:szCs w:val="20"/>
                <w:color w:val="auto"/>
              </w:rPr>
            </w:pPr>
            <w:r>
              <w:rPr>
                <w:rFonts w:ascii="宋体" w:cs="宋体" w:eastAsia="宋体" w:hAnsi="宋体"/>
                <w:sz w:val="22"/>
                <w:szCs w:val="22"/>
                <w:color w:val="0C0C0C"/>
                <w:w w:val="96"/>
              </w:rPr>
              <w:t>特大城市</w:t>
            </w:r>
            <w:r>
              <w:rPr>
                <w:rFonts w:ascii="Arial" w:cs="Arial" w:eastAsia="Arial" w:hAnsi="Arial"/>
                <w:sz w:val="22"/>
                <w:szCs w:val="22"/>
                <w:color w:val="0C0C0C"/>
                <w:w w:val="96"/>
              </w:rPr>
              <w:t xml:space="preserve"> 17</w:t>
            </w:r>
          </w:p>
        </w:tc>
        <w:tc>
          <w:tcPr>
            <w:tcW w:w="2860" w:type="dxa"/>
            <w:vAlign w:val="bottom"/>
            <w:tcBorders>
              <w:right w:val="single" w:sz="8" w:color="auto"/>
            </w:tcBorders>
            <w:vMerge w:val="restart"/>
          </w:tcPr>
          <w:p>
            <w:pPr>
              <w:jc w:val="center"/>
              <w:spacing w:after="0" w:line="267" w:lineRule="exact"/>
              <w:rPr>
                <w:sz w:val="20"/>
                <w:szCs w:val="20"/>
                <w:color w:val="auto"/>
              </w:rPr>
            </w:pPr>
            <w:r>
              <w:rPr>
                <w:rFonts w:ascii="宋体" w:cs="宋体" w:eastAsia="宋体" w:hAnsi="宋体"/>
                <w:sz w:val="22"/>
                <w:szCs w:val="22"/>
                <w:color w:val="0C0C0C"/>
              </w:rPr>
              <w:t>特大城市</w:t>
            </w:r>
            <w:r>
              <w:rPr>
                <w:rFonts w:ascii="Arial" w:cs="Arial" w:eastAsia="Arial" w:hAnsi="Arial"/>
                <w:sz w:val="22"/>
                <w:szCs w:val="22"/>
                <w:color w:val="0C0C0C"/>
              </w:rPr>
              <w:t>≥20</w:t>
            </w:r>
          </w:p>
        </w:tc>
        <w:tc>
          <w:tcPr>
            <w:tcW w:w="0" w:type="dxa"/>
            <w:vAlign w:val="bottom"/>
          </w:tcPr>
          <w:p>
            <w:pPr>
              <w:spacing w:after="0"/>
              <w:rPr>
                <w:sz w:val="1"/>
                <w:szCs w:val="1"/>
                <w:color w:val="auto"/>
              </w:rPr>
            </w:pPr>
          </w:p>
        </w:tc>
      </w:tr>
      <w:tr>
        <w:trPr>
          <w:trHeight w:val="166"/>
        </w:trPr>
        <w:tc>
          <w:tcPr>
            <w:tcW w:w="940" w:type="dxa"/>
            <w:vAlign w:val="bottom"/>
            <w:tcBorders>
              <w:left w:val="single" w:sz="8" w:color="auto"/>
              <w:right w:val="single" w:sz="8" w:color="auto"/>
            </w:tcBorders>
          </w:tcPr>
          <w:p>
            <w:pPr>
              <w:spacing w:after="0"/>
              <w:rPr>
                <w:sz w:val="14"/>
                <w:szCs w:val="14"/>
                <w:color w:val="auto"/>
              </w:rPr>
            </w:pPr>
          </w:p>
        </w:tc>
        <w:tc>
          <w:tcPr>
            <w:tcW w:w="660" w:type="dxa"/>
            <w:vAlign w:val="bottom"/>
            <w:tcBorders>
              <w:right w:val="single" w:sz="8" w:color="auto"/>
            </w:tcBorders>
            <w:vMerge w:val="continue"/>
          </w:tcPr>
          <w:p>
            <w:pPr>
              <w:spacing w:after="0"/>
              <w:rPr>
                <w:sz w:val="14"/>
                <w:szCs w:val="14"/>
                <w:color w:val="auto"/>
              </w:rPr>
            </w:pPr>
          </w:p>
        </w:tc>
        <w:tc>
          <w:tcPr>
            <w:tcW w:w="3160" w:type="dxa"/>
            <w:vAlign w:val="bottom"/>
            <w:tcBorders>
              <w:right w:val="single" w:sz="8" w:color="auto"/>
            </w:tcBorders>
            <w:vMerge w:val="restart"/>
          </w:tcPr>
          <w:p>
            <w:pPr>
              <w:ind w:left="100"/>
              <w:spacing w:after="0" w:line="267" w:lineRule="exact"/>
              <w:rPr>
                <w:sz w:val="20"/>
                <w:szCs w:val="20"/>
                <w:color w:val="auto"/>
              </w:rPr>
            </w:pPr>
            <w:r>
              <w:rPr>
                <w:rFonts w:ascii="宋体" w:cs="宋体" w:eastAsia="宋体" w:hAnsi="宋体"/>
                <w:sz w:val="22"/>
                <w:szCs w:val="22"/>
                <w:color w:val="0C0C0C"/>
              </w:rPr>
              <w:t>比例（</w:t>
            </w:r>
            <w:r>
              <w:rPr>
                <w:rFonts w:ascii="Arial" w:cs="Arial" w:eastAsia="Arial" w:hAnsi="Arial"/>
                <w:sz w:val="22"/>
                <w:szCs w:val="22"/>
                <w:color w:val="0C0C0C"/>
              </w:rPr>
              <w:t>%</w:t>
            </w:r>
            <w:r>
              <w:rPr>
                <w:rFonts w:ascii="宋体" w:cs="宋体" w:eastAsia="宋体" w:hAnsi="宋体"/>
                <w:sz w:val="22"/>
                <w:szCs w:val="22"/>
                <w:color w:val="0C0C0C"/>
              </w:rPr>
              <w:t>）</w:t>
            </w:r>
          </w:p>
        </w:tc>
        <w:tc>
          <w:tcPr>
            <w:tcW w:w="1460" w:type="dxa"/>
            <w:vAlign w:val="bottom"/>
            <w:tcBorders>
              <w:right w:val="single" w:sz="8" w:color="auto"/>
            </w:tcBorders>
            <w:vMerge w:val="continue"/>
          </w:tcPr>
          <w:p>
            <w:pPr>
              <w:spacing w:after="0"/>
              <w:rPr>
                <w:sz w:val="14"/>
                <w:szCs w:val="14"/>
                <w:color w:val="auto"/>
              </w:rPr>
            </w:pPr>
          </w:p>
        </w:tc>
        <w:tc>
          <w:tcPr>
            <w:tcW w:w="286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39"/>
        </w:trPr>
        <w:tc>
          <w:tcPr>
            <w:tcW w:w="940" w:type="dxa"/>
            <w:vAlign w:val="bottom"/>
            <w:tcBorders>
              <w:left w:val="single" w:sz="8" w:color="auto"/>
              <w:right w:val="single" w:sz="8" w:color="auto"/>
            </w:tcBorders>
          </w:tcPr>
          <w:p>
            <w:pPr>
              <w:spacing w:after="0"/>
              <w:rPr>
                <w:sz w:val="12"/>
                <w:szCs w:val="12"/>
                <w:color w:val="auto"/>
              </w:rPr>
            </w:pPr>
          </w:p>
        </w:tc>
        <w:tc>
          <w:tcPr>
            <w:tcW w:w="660" w:type="dxa"/>
            <w:vAlign w:val="bottom"/>
            <w:tcBorders>
              <w:right w:val="single" w:sz="8" w:color="auto"/>
            </w:tcBorders>
          </w:tcPr>
          <w:p>
            <w:pPr>
              <w:spacing w:after="0"/>
              <w:rPr>
                <w:sz w:val="12"/>
                <w:szCs w:val="12"/>
                <w:color w:val="auto"/>
              </w:rPr>
            </w:pPr>
          </w:p>
        </w:tc>
        <w:tc>
          <w:tcPr>
            <w:tcW w:w="3160" w:type="dxa"/>
            <w:vAlign w:val="bottom"/>
            <w:tcBorders>
              <w:right w:val="single" w:sz="8" w:color="auto"/>
            </w:tcBorders>
            <w:vMerge w:val="continue"/>
          </w:tcPr>
          <w:p>
            <w:pPr>
              <w:spacing w:after="0"/>
              <w:rPr>
                <w:sz w:val="12"/>
                <w:szCs w:val="12"/>
                <w:color w:val="auto"/>
              </w:rPr>
            </w:pPr>
          </w:p>
        </w:tc>
        <w:tc>
          <w:tcPr>
            <w:tcW w:w="1460" w:type="dxa"/>
            <w:vAlign w:val="bottom"/>
            <w:tcBorders>
              <w:right w:val="single" w:sz="8" w:color="auto"/>
            </w:tcBorders>
            <w:vMerge w:val="restart"/>
          </w:tcPr>
          <w:p>
            <w:pPr>
              <w:jc w:val="center"/>
              <w:spacing w:after="0" w:line="267" w:lineRule="exact"/>
              <w:rPr>
                <w:sz w:val="20"/>
                <w:szCs w:val="20"/>
                <w:color w:val="auto"/>
              </w:rPr>
            </w:pPr>
            <w:r>
              <w:rPr>
                <w:rFonts w:ascii="宋体" w:cs="宋体" w:eastAsia="宋体" w:hAnsi="宋体"/>
                <w:sz w:val="22"/>
                <w:szCs w:val="22"/>
                <w:color w:val="0C0C0C"/>
                <w:w w:val="97"/>
              </w:rPr>
              <w:t>大城市</w:t>
            </w:r>
            <w:r>
              <w:rPr>
                <w:rFonts w:ascii="Arial" w:cs="Arial" w:eastAsia="Arial" w:hAnsi="Arial"/>
                <w:sz w:val="22"/>
                <w:szCs w:val="22"/>
                <w:color w:val="0C0C0C"/>
                <w:w w:val="97"/>
              </w:rPr>
              <w:t xml:space="preserve"> 8</w:t>
            </w:r>
          </w:p>
        </w:tc>
        <w:tc>
          <w:tcPr>
            <w:tcW w:w="2860" w:type="dxa"/>
            <w:vAlign w:val="bottom"/>
            <w:tcBorders>
              <w:right w:val="single" w:sz="8" w:color="auto"/>
            </w:tcBorders>
            <w:vMerge w:val="restart"/>
          </w:tcPr>
          <w:p>
            <w:pPr>
              <w:jc w:val="center"/>
              <w:spacing w:after="0" w:line="267" w:lineRule="exact"/>
              <w:rPr>
                <w:sz w:val="20"/>
                <w:szCs w:val="20"/>
                <w:color w:val="auto"/>
              </w:rPr>
            </w:pPr>
            <w:r>
              <w:rPr>
                <w:rFonts w:ascii="宋体" w:cs="宋体" w:eastAsia="宋体" w:hAnsi="宋体"/>
                <w:sz w:val="22"/>
                <w:szCs w:val="22"/>
                <w:color w:val="0C0C0C"/>
              </w:rPr>
              <w:t>大城市</w:t>
            </w:r>
            <w:r>
              <w:rPr>
                <w:rFonts w:ascii="Arial" w:cs="Arial" w:eastAsia="Arial" w:hAnsi="Arial"/>
                <w:sz w:val="22"/>
                <w:szCs w:val="22"/>
                <w:color w:val="0C0C0C"/>
              </w:rPr>
              <w:t>≥10</w:t>
            </w:r>
          </w:p>
        </w:tc>
        <w:tc>
          <w:tcPr>
            <w:tcW w:w="0" w:type="dxa"/>
            <w:vAlign w:val="bottom"/>
          </w:tcPr>
          <w:p>
            <w:pPr>
              <w:spacing w:after="0"/>
              <w:rPr>
                <w:sz w:val="1"/>
                <w:szCs w:val="1"/>
                <w:color w:val="auto"/>
              </w:rPr>
            </w:pPr>
          </w:p>
        </w:tc>
      </w:tr>
      <w:tr>
        <w:trPr>
          <w:trHeight w:val="161"/>
        </w:trPr>
        <w:tc>
          <w:tcPr>
            <w:tcW w:w="940" w:type="dxa"/>
            <w:vAlign w:val="bottom"/>
            <w:tcBorders>
              <w:left w:val="single" w:sz="8" w:color="auto"/>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3160" w:type="dxa"/>
            <w:vAlign w:val="bottom"/>
            <w:tcBorders>
              <w:right w:val="single" w:sz="8" w:color="auto"/>
            </w:tcBorders>
          </w:tcPr>
          <w:p>
            <w:pPr>
              <w:spacing w:after="0"/>
              <w:rPr>
                <w:sz w:val="13"/>
                <w:szCs w:val="13"/>
                <w:color w:val="auto"/>
              </w:rPr>
            </w:pPr>
          </w:p>
        </w:tc>
        <w:tc>
          <w:tcPr>
            <w:tcW w:w="1460" w:type="dxa"/>
            <w:vAlign w:val="bottom"/>
            <w:tcBorders>
              <w:right w:val="single" w:sz="8" w:color="auto"/>
            </w:tcBorders>
            <w:vMerge w:val="continue"/>
          </w:tcPr>
          <w:p>
            <w:pPr>
              <w:spacing w:after="0"/>
              <w:rPr>
                <w:sz w:val="13"/>
                <w:szCs w:val="13"/>
                <w:color w:val="auto"/>
              </w:rPr>
            </w:pPr>
          </w:p>
        </w:tc>
        <w:tc>
          <w:tcPr>
            <w:tcW w:w="28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32"/>
        </w:trPr>
        <w:tc>
          <w:tcPr>
            <w:tcW w:w="940" w:type="dxa"/>
            <w:vAlign w:val="bottom"/>
            <w:tcBorders>
              <w:left w:val="single" w:sz="8" w:color="auto"/>
              <w:bottom w:val="single" w:sz="8" w:color="auto"/>
              <w:right w:val="single" w:sz="8" w:color="auto"/>
            </w:tcBorders>
          </w:tcPr>
          <w:p>
            <w:pPr>
              <w:spacing w:after="0"/>
              <w:rPr>
                <w:sz w:val="2"/>
                <w:szCs w:val="2"/>
                <w:color w:val="auto"/>
              </w:rPr>
            </w:pPr>
          </w:p>
        </w:tc>
        <w:tc>
          <w:tcPr>
            <w:tcW w:w="660" w:type="dxa"/>
            <w:vAlign w:val="bottom"/>
            <w:tcBorders>
              <w:bottom w:val="single" w:sz="8" w:color="auto"/>
              <w:right w:val="single" w:sz="8" w:color="auto"/>
            </w:tcBorders>
          </w:tcPr>
          <w:p>
            <w:pPr>
              <w:spacing w:after="0"/>
              <w:rPr>
                <w:sz w:val="2"/>
                <w:szCs w:val="2"/>
                <w:color w:val="auto"/>
              </w:rPr>
            </w:pPr>
          </w:p>
        </w:tc>
        <w:tc>
          <w:tcPr>
            <w:tcW w:w="3160" w:type="dxa"/>
            <w:vAlign w:val="bottom"/>
            <w:tcBorders>
              <w:bottom w:val="single" w:sz="8" w:color="auto"/>
              <w:right w:val="single" w:sz="8" w:color="auto"/>
            </w:tcBorders>
          </w:tcPr>
          <w:p>
            <w:pPr>
              <w:spacing w:after="0"/>
              <w:rPr>
                <w:sz w:val="2"/>
                <w:szCs w:val="2"/>
                <w:color w:val="auto"/>
              </w:rPr>
            </w:pPr>
          </w:p>
        </w:tc>
        <w:tc>
          <w:tcPr>
            <w:tcW w:w="1460" w:type="dxa"/>
            <w:vAlign w:val="bottom"/>
            <w:tcBorders>
              <w:bottom w:val="single" w:sz="8" w:color="auto"/>
              <w:right w:val="single" w:sz="8" w:color="auto"/>
            </w:tcBorders>
          </w:tcPr>
          <w:p>
            <w:pPr>
              <w:spacing w:after="0"/>
              <w:rPr>
                <w:sz w:val="2"/>
                <w:szCs w:val="2"/>
                <w:color w:val="auto"/>
              </w:rPr>
            </w:pPr>
          </w:p>
        </w:tc>
        <w:tc>
          <w:tcPr>
            <w:tcW w:w="28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20"/>
        </w:trPr>
        <w:tc>
          <w:tcPr>
            <w:tcW w:w="940" w:type="dxa"/>
            <w:vAlign w:val="bottom"/>
            <w:tcBorders>
              <w:left w:val="single" w:sz="8" w:color="auto"/>
              <w:right w:val="single" w:sz="8" w:color="auto"/>
            </w:tcBorders>
          </w:tcPr>
          <w:p>
            <w:pPr>
              <w:spacing w:after="0"/>
              <w:rPr>
                <w:sz w:val="24"/>
                <w:szCs w:val="24"/>
                <w:color w:val="auto"/>
              </w:rPr>
            </w:pPr>
          </w:p>
        </w:tc>
        <w:tc>
          <w:tcPr>
            <w:tcW w:w="66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w w:val="97"/>
              </w:rPr>
              <w:t>6</w:t>
            </w:r>
          </w:p>
        </w:tc>
        <w:tc>
          <w:tcPr>
            <w:tcW w:w="3160" w:type="dxa"/>
            <w:vAlign w:val="bottom"/>
            <w:tcBorders>
              <w:right w:val="single" w:sz="8" w:color="auto"/>
            </w:tcBorders>
          </w:tcPr>
          <w:p>
            <w:pPr>
              <w:ind w:left="100"/>
              <w:spacing w:after="0" w:line="267" w:lineRule="exact"/>
              <w:rPr>
                <w:sz w:val="20"/>
                <w:szCs w:val="20"/>
                <w:color w:val="auto"/>
              </w:rPr>
            </w:pPr>
            <w:r>
              <w:rPr>
                <w:rFonts w:ascii="宋体" w:cs="宋体" w:eastAsia="宋体" w:hAnsi="宋体"/>
                <w:sz w:val="22"/>
                <w:szCs w:val="22"/>
                <w:color w:val="0C0C0C"/>
                <w:w w:val="98"/>
              </w:rPr>
              <w:t>城市公共供水管网漏损率（</w:t>
            </w:r>
            <w:r>
              <w:rPr>
                <w:rFonts w:ascii="Arial" w:cs="Arial" w:eastAsia="Arial" w:hAnsi="Arial"/>
                <w:sz w:val="22"/>
                <w:szCs w:val="22"/>
                <w:color w:val="0C0C0C"/>
                <w:w w:val="98"/>
              </w:rPr>
              <w:t>%</w:t>
            </w:r>
            <w:r>
              <w:rPr>
                <w:rFonts w:ascii="宋体" w:cs="宋体" w:eastAsia="宋体" w:hAnsi="宋体"/>
                <w:sz w:val="22"/>
                <w:szCs w:val="22"/>
                <w:color w:val="0C0C0C"/>
                <w:w w:val="98"/>
              </w:rPr>
              <w:t>）</w:t>
            </w:r>
          </w:p>
        </w:tc>
        <w:tc>
          <w:tcPr>
            <w:tcW w:w="146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w w:val="89"/>
              </w:rPr>
              <w:t>10</w:t>
            </w:r>
          </w:p>
        </w:tc>
        <w:tc>
          <w:tcPr>
            <w:tcW w:w="286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rPr>
              <w:t>≤9</w:t>
            </w:r>
          </w:p>
        </w:tc>
        <w:tc>
          <w:tcPr>
            <w:tcW w:w="0" w:type="dxa"/>
            <w:vAlign w:val="bottom"/>
          </w:tcPr>
          <w:p>
            <w:pPr>
              <w:spacing w:after="0"/>
              <w:rPr>
                <w:sz w:val="1"/>
                <w:szCs w:val="1"/>
                <w:color w:val="auto"/>
              </w:rPr>
            </w:pPr>
          </w:p>
        </w:tc>
      </w:tr>
      <w:tr>
        <w:trPr>
          <w:trHeight w:val="39"/>
        </w:trPr>
        <w:tc>
          <w:tcPr>
            <w:tcW w:w="940" w:type="dxa"/>
            <w:vAlign w:val="bottom"/>
            <w:tcBorders>
              <w:left w:val="single" w:sz="8" w:color="auto"/>
              <w:right w:val="single" w:sz="8" w:color="auto"/>
            </w:tcBorders>
          </w:tcPr>
          <w:p>
            <w:pPr>
              <w:spacing w:after="0"/>
              <w:rPr>
                <w:sz w:val="3"/>
                <w:szCs w:val="3"/>
                <w:color w:val="auto"/>
              </w:rPr>
            </w:pPr>
          </w:p>
        </w:tc>
        <w:tc>
          <w:tcPr>
            <w:tcW w:w="660" w:type="dxa"/>
            <w:vAlign w:val="bottom"/>
            <w:tcBorders>
              <w:bottom w:val="single" w:sz="8" w:color="auto"/>
              <w:right w:val="single" w:sz="8" w:color="auto"/>
            </w:tcBorders>
          </w:tcPr>
          <w:p>
            <w:pPr>
              <w:spacing w:after="0"/>
              <w:rPr>
                <w:sz w:val="3"/>
                <w:szCs w:val="3"/>
                <w:color w:val="auto"/>
              </w:rPr>
            </w:pPr>
          </w:p>
        </w:tc>
        <w:tc>
          <w:tcPr>
            <w:tcW w:w="3160" w:type="dxa"/>
            <w:vAlign w:val="bottom"/>
            <w:tcBorders>
              <w:bottom w:val="single" w:sz="8" w:color="auto"/>
              <w:right w:val="single" w:sz="8" w:color="auto"/>
            </w:tcBorders>
          </w:tcPr>
          <w:p>
            <w:pPr>
              <w:spacing w:after="0"/>
              <w:rPr>
                <w:sz w:val="3"/>
                <w:szCs w:val="3"/>
                <w:color w:val="auto"/>
              </w:rPr>
            </w:pPr>
          </w:p>
        </w:tc>
        <w:tc>
          <w:tcPr>
            <w:tcW w:w="1460" w:type="dxa"/>
            <w:vAlign w:val="bottom"/>
            <w:tcBorders>
              <w:bottom w:val="single" w:sz="8" w:color="auto"/>
              <w:right w:val="single" w:sz="8" w:color="auto"/>
            </w:tcBorders>
          </w:tcPr>
          <w:p>
            <w:pPr>
              <w:spacing w:after="0"/>
              <w:rPr>
                <w:sz w:val="3"/>
                <w:szCs w:val="3"/>
                <w:color w:val="auto"/>
              </w:rPr>
            </w:pPr>
          </w:p>
        </w:tc>
        <w:tc>
          <w:tcPr>
            <w:tcW w:w="28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20"/>
        </w:trPr>
        <w:tc>
          <w:tcPr>
            <w:tcW w:w="940" w:type="dxa"/>
            <w:vAlign w:val="bottom"/>
            <w:tcBorders>
              <w:left w:val="single" w:sz="8" w:color="auto"/>
              <w:right w:val="single" w:sz="8" w:color="auto"/>
            </w:tcBorders>
          </w:tcPr>
          <w:p>
            <w:pPr>
              <w:spacing w:after="0"/>
              <w:rPr>
                <w:sz w:val="24"/>
                <w:szCs w:val="24"/>
                <w:color w:val="auto"/>
              </w:rPr>
            </w:pPr>
          </w:p>
        </w:tc>
        <w:tc>
          <w:tcPr>
            <w:tcW w:w="66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w w:val="97"/>
              </w:rPr>
              <w:t>7</w:t>
            </w:r>
          </w:p>
        </w:tc>
        <w:tc>
          <w:tcPr>
            <w:tcW w:w="3160" w:type="dxa"/>
            <w:vAlign w:val="bottom"/>
            <w:tcBorders>
              <w:right w:val="single" w:sz="8" w:color="auto"/>
            </w:tcBorders>
          </w:tcPr>
          <w:p>
            <w:pPr>
              <w:ind w:left="100"/>
              <w:spacing w:after="0" w:line="267" w:lineRule="exact"/>
              <w:rPr>
                <w:sz w:val="20"/>
                <w:szCs w:val="20"/>
                <w:color w:val="auto"/>
              </w:rPr>
            </w:pPr>
            <w:r>
              <w:rPr>
                <w:rFonts w:ascii="宋体" w:cs="宋体" w:eastAsia="宋体" w:hAnsi="宋体"/>
                <w:sz w:val="22"/>
                <w:szCs w:val="22"/>
                <w:color w:val="0C0C0C"/>
                <w:w w:val="98"/>
              </w:rPr>
              <w:t>城市生活污水集中收集率（</w:t>
            </w:r>
            <w:r>
              <w:rPr>
                <w:rFonts w:ascii="Arial" w:cs="Arial" w:eastAsia="Arial" w:hAnsi="Arial"/>
                <w:sz w:val="22"/>
                <w:szCs w:val="22"/>
                <w:color w:val="0C0C0C"/>
                <w:w w:val="98"/>
              </w:rPr>
              <w:t>%</w:t>
            </w:r>
            <w:r>
              <w:rPr>
                <w:rFonts w:ascii="宋体" w:cs="宋体" w:eastAsia="宋体" w:hAnsi="宋体"/>
                <w:sz w:val="22"/>
                <w:szCs w:val="22"/>
                <w:color w:val="0C0C0C"/>
                <w:w w:val="98"/>
              </w:rPr>
              <w:t>）</w:t>
            </w:r>
          </w:p>
        </w:tc>
        <w:tc>
          <w:tcPr>
            <w:tcW w:w="146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rPr>
              <w:t>64.8</w:t>
            </w:r>
          </w:p>
        </w:tc>
        <w:tc>
          <w:tcPr>
            <w:tcW w:w="286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rPr>
              <w:t>≥70</w:t>
            </w:r>
          </w:p>
        </w:tc>
        <w:tc>
          <w:tcPr>
            <w:tcW w:w="0" w:type="dxa"/>
            <w:vAlign w:val="bottom"/>
          </w:tcPr>
          <w:p>
            <w:pPr>
              <w:spacing w:after="0"/>
              <w:rPr>
                <w:sz w:val="1"/>
                <w:szCs w:val="1"/>
                <w:color w:val="auto"/>
              </w:rPr>
            </w:pPr>
          </w:p>
        </w:tc>
      </w:tr>
      <w:tr>
        <w:trPr>
          <w:trHeight w:val="39"/>
        </w:trPr>
        <w:tc>
          <w:tcPr>
            <w:tcW w:w="940" w:type="dxa"/>
            <w:vAlign w:val="bottom"/>
            <w:tcBorders>
              <w:left w:val="single" w:sz="8" w:color="auto"/>
              <w:right w:val="single" w:sz="8" w:color="auto"/>
            </w:tcBorders>
          </w:tcPr>
          <w:p>
            <w:pPr>
              <w:spacing w:after="0"/>
              <w:rPr>
                <w:sz w:val="3"/>
                <w:szCs w:val="3"/>
                <w:color w:val="auto"/>
              </w:rPr>
            </w:pPr>
          </w:p>
        </w:tc>
        <w:tc>
          <w:tcPr>
            <w:tcW w:w="660" w:type="dxa"/>
            <w:vAlign w:val="bottom"/>
            <w:tcBorders>
              <w:bottom w:val="single" w:sz="8" w:color="auto"/>
              <w:right w:val="single" w:sz="8" w:color="auto"/>
            </w:tcBorders>
          </w:tcPr>
          <w:p>
            <w:pPr>
              <w:spacing w:after="0"/>
              <w:rPr>
                <w:sz w:val="3"/>
                <w:szCs w:val="3"/>
                <w:color w:val="auto"/>
              </w:rPr>
            </w:pPr>
          </w:p>
        </w:tc>
        <w:tc>
          <w:tcPr>
            <w:tcW w:w="3160" w:type="dxa"/>
            <w:vAlign w:val="bottom"/>
            <w:tcBorders>
              <w:bottom w:val="single" w:sz="8" w:color="auto"/>
              <w:right w:val="single" w:sz="8" w:color="auto"/>
            </w:tcBorders>
          </w:tcPr>
          <w:p>
            <w:pPr>
              <w:spacing w:after="0"/>
              <w:rPr>
                <w:sz w:val="3"/>
                <w:szCs w:val="3"/>
                <w:color w:val="auto"/>
              </w:rPr>
            </w:pPr>
          </w:p>
        </w:tc>
        <w:tc>
          <w:tcPr>
            <w:tcW w:w="1460" w:type="dxa"/>
            <w:vAlign w:val="bottom"/>
            <w:tcBorders>
              <w:bottom w:val="single" w:sz="8" w:color="auto"/>
              <w:right w:val="single" w:sz="8" w:color="auto"/>
            </w:tcBorders>
          </w:tcPr>
          <w:p>
            <w:pPr>
              <w:spacing w:after="0"/>
              <w:rPr>
                <w:sz w:val="3"/>
                <w:szCs w:val="3"/>
                <w:color w:val="auto"/>
              </w:rPr>
            </w:pPr>
          </w:p>
        </w:tc>
        <w:tc>
          <w:tcPr>
            <w:tcW w:w="28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96"/>
        </w:trPr>
        <w:tc>
          <w:tcPr>
            <w:tcW w:w="940" w:type="dxa"/>
            <w:vAlign w:val="bottom"/>
            <w:tcBorders>
              <w:left w:val="single" w:sz="8" w:color="auto"/>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0C0C0C"/>
                <w:w w:val="99"/>
              </w:rPr>
              <w:t>水</w:t>
            </w:r>
          </w:p>
        </w:tc>
        <w:tc>
          <w:tcPr>
            <w:tcW w:w="660" w:type="dxa"/>
            <w:vAlign w:val="bottom"/>
            <w:tcBorders>
              <w:right w:val="single" w:sz="8" w:color="auto"/>
            </w:tcBorders>
          </w:tcPr>
          <w:p>
            <w:pPr>
              <w:spacing w:after="0"/>
              <w:rPr>
                <w:sz w:val="24"/>
                <w:szCs w:val="24"/>
                <w:color w:val="auto"/>
              </w:rPr>
            </w:pPr>
          </w:p>
        </w:tc>
        <w:tc>
          <w:tcPr>
            <w:tcW w:w="316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2860" w:type="dxa"/>
            <w:vAlign w:val="bottom"/>
            <w:tcBorders>
              <w:right w:val="single" w:sz="8" w:color="auto"/>
            </w:tcBorders>
          </w:tcPr>
          <w:p>
            <w:pPr>
              <w:jc w:val="center"/>
              <w:spacing w:after="0" w:line="267" w:lineRule="exact"/>
              <w:rPr>
                <w:sz w:val="20"/>
                <w:szCs w:val="20"/>
                <w:color w:val="auto"/>
              </w:rPr>
            </w:pPr>
            <w:r>
              <w:rPr>
                <w:rFonts w:ascii="宋体" w:cs="宋体" w:eastAsia="宋体" w:hAnsi="宋体"/>
                <w:sz w:val="22"/>
                <w:szCs w:val="22"/>
                <w:color w:val="0C0C0C"/>
              </w:rPr>
              <w:t>地级及以上缺水城市</w:t>
            </w:r>
            <w:r>
              <w:rPr>
                <w:rFonts w:ascii="Arial" w:cs="Arial" w:eastAsia="Arial" w:hAnsi="Arial"/>
                <w:sz w:val="22"/>
                <w:szCs w:val="22"/>
                <w:color w:val="0C0C0C"/>
              </w:rPr>
              <w:t>≥25</w:t>
            </w:r>
            <w:r>
              <w:rPr>
                <w:rFonts w:ascii="宋体" w:cs="宋体" w:eastAsia="宋体" w:hAnsi="宋体"/>
                <w:sz w:val="22"/>
                <w:szCs w:val="22"/>
                <w:color w:val="0C0C0C"/>
              </w:rPr>
              <w:t>，</w:t>
            </w:r>
          </w:p>
        </w:tc>
        <w:tc>
          <w:tcPr>
            <w:tcW w:w="0" w:type="dxa"/>
            <w:vAlign w:val="bottom"/>
          </w:tcPr>
          <w:p>
            <w:pPr>
              <w:spacing w:after="0"/>
              <w:rPr>
                <w:sz w:val="1"/>
                <w:szCs w:val="1"/>
                <w:color w:val="auto"/>
              </w:rPr>
            </w:pPr>
          </w:p>
        </w:tc>
      </w:tr>
      <w:tr>
        <w:trPr>
          <w:trHeight w:val="156"/>
        </w:trPr>
        <w:tc>
          <w:tcPr>
            <w:tcW w:w="940" w:type="dxa"/>
            <w:vAlign w:val="bottom"/>
            <w:tcBorders>
              <w:left w:val="single" w:sz="8" w:color="auto"/>
              <w:right w:val="single" w:sz="8" w:color="auto"/>
            </w:tcBorders>
            <w:vMerge w:val="continue"/>
          </w:tcPr>
          <w:p>
            <w:pPr>
              <w:spacing w:after="0"/>
              <w:rPr>
                <w:sz w:val="13"/>
                <w:szCs w:val="13"/>
                <w:color w:val="auto"/>
              </w:rPr>
            </w:pPr>
          </w:p>
        </w:tc>
        <w:tc>
          <w:tcPr>
            <w:tcW w:w="6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2"/>
                <w:szCs w:val="22"/>
                <w:color w:val="0C0C0C"/>
                <w:w w:val="97"/>
              </w:rPr>
              <w:t>8</w:t>
            </w:r>
          </w:p>
        </w:tc>
        <w:tc>
          <w:tcPr>
            <w:tcW w:w="3160" w:type="dxa"/>
            <w:vAlign w:val="bottom"/>
            <w:tcBorders>
              <w:right w:val="single" w:sz="8" w:color="auto"/>
            </w:tcBorders>
            <w:vMerge w:val="restart"/>
          </w:tcPr>
          <w:p>
            <w:pPr>
              <w:ind w:left="100"/>
              <w:spacing w:after="0" w:line="267" w:lineRule="exact"/>
              <w:rPr>
                <w:sz w:val="20"/>
                <w:szCs w:val="20"/>
                <w:color w:val="auto"/>
              </w:rPr>
            </w:pPr>
            <w:r>
              <w:rPr>
                <w:rFonts w:ascii="宋体" w:cs="宋体" w:eastAsia="宋体" w:hAnsi="宋体"/>
                <w:sz w:val="22"/>
                <w:szCs w:val="22"/>
                <w:color w:val="0C0C0C"/>
              </w:rPr>
              <w:t>缺水城市再生水利用率（</w:t>
            </w:r>
            <w:r>
              <w:rPr>
                <w:rFonts w:ascii="Arial" w:cs="Arial" w:eastAsia="Arial" w:hAnsi="Arial"/>
                <w:sz w:val="22"/>
                <w:szCs w:val="22"/>
                <w:color w:val="0C0C0C"/>
              </w:rPr>
              <w:t>%</w:t>
            </w:r>
            <w:r>
              <w:rPr>
                <w:rFonts w:ascii="宋体" w:cs="宋体" w:eastAsia="宋体" w:hAnsi="宋体"/>
                <w:sz w:val="22"/>
                <w:szCs w:val="22"/>
                <w:color w:val="0C0C0C"/>
              </w:rPr>
              <w:t>）</w:t>
            </w:r>
          </w:p>
        </w:tc>
        <w:tc>
          <w:tcPr>
            <w:tcW w:w="1460" w:type="dxa"/>
            <w:vAlign w:val="bottom"/>
            <w:tcBorders>
              <w:right w:val="single" w:sz="8" w:color="auto"/>
            </w:tcBorders>
            <w:vMerge w:val="restart"/>
          </w:tcPr>
          <w:p>
            <w:pPr>
              <w:jc w:val="center"/>
              <w:spacing w:after="0" w:line="267" w:lineRule="exact"/>
              <w:rPr>
                <w:sz w:val="20"/>
                <w:szCs w:val="20"/>
                <w:color w:val="auto"/>
              </w:rPr>
            </w:pPr>
            <w:r>
              <w:rPr>
                <w:rFonts w:ascii="Arial" w:cs="Arial" w:eastAsia="Arial" w:hAnsi="Arial"/>
                <w:sz w:val="22"/>
                <w:szCs w:val="22"/>
                <w:color w:val="0C0C0C"/>
                <w:w w:val="96"/>
              </w:rPr>
              <w:t xml:space="preserve">20 </w:t>
            </w:r>
            <w:r>
              <w:rPr>
                <w:rFonts w:ascii="宋体" w:cs="宋体" w:eastAsia="宋体" w:hAnsi="宋体"/>
                <w:sz w:val="22"/>
                <w:szCs w:val="22"/>
                <w:color w:val="0C0C0C"/>
                <w:w w:val="96"/>
              </w:rPr>
              <w:t>左右</w:t>
            </w:r>
          </w:p>
        </w:tc>
        <w:tc>
          <w:tcPr>
            <w:tcW w:w="2860" w:type="dxa"/>
            <w:vAlign w:val="bottom"/>
            <w:tcBorders>
              <w:right w:val="single" w:sz="8" w:color="auto"/>
            </w:tcBorders>
            <w:vMerge w:val="restart"/>
          </w:tcPr>
          <w:p>
            <w:pPr>
              <w:jc w:val="center"/>
              <w:spacing w:after="0" w:line="267" w:lineRule="exact"/>
              <w:rPr>
                <w:sz w:val="20"/>
                <w:szCs w:val="20"/>
                <w:color w:val="auto"/>
              </w:rPr>
            </w:pPr>
            <w:r>
              <w:rPr>
                <w:rFonts w:ascii="宋体" w:cs="宋体" w:eastAsia="宋体" w:hAnsi="宋体"/>
                <w:sz w:val="22"/>
                <w:szCs w:val="22"/>
                <w:color w:val="0C0C0C"/>
              </w:rPr>
              <w:t>京津冀地区</w:t>
            </w:r>
            <w:r>
              <w:rPr>
                <w:rFonts w:ascii="Arial" w:cs="Arial" w:eastAsia="Arial" w:hAnsi="Arial"/>
                <w:sz w:val="22"/>
                <w:szCs w:val="22"/>
                <w:color w:val="0C0C0C"/>
              </w:rPr>
              <w:t>≥35</w:t>
            </w:r>
            <w:r>
              <w:rPr>
                <w:rFonts w:ascii="宋体" w:cs="宋体" w:eastAsia="宋体" w:hAnsi="宋体"/>
                <w:sz w:val="22"/>
                <w:szCs w:val="22"/>
                <w:color w:val="0C0C0C"/>
              </w:rPr>
              <w:t>，黄河流域</w:t>
            </w:r>
          </w:p>
        </w:tc>
        <w:tc>
          <w:tcPr>
            <w:tcW w:w="0" w:type="dxa"/>
            <w:vAlign w:val="bottom"/>
          </w:tcPr>
          <w:p>
            <w:pPr>
              <w:spacing w:after="0"/>
              <w:rPr>
                <w:sz w:val="1"/>
                <w:szCs w:val="1"/>
                <w:color w:val="auto"/>
              </w:rPr>
            </w:pPr>
          </w:p>
        </w:tc>
      </w:tr>
      <w:tr>
        <w:trPr>
          <w:trHeight w:val="194"/>
        </w:trPr>
        <w:tc>
          <w:tcPr>
            <w:tcW w:w="940" w:type="dxa"/>
            <w:vAlign w:val="bottom"/>
            <w:tcBorders>
              <w:left w:val="single" w:sz="8" w:color="auto"/>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0C0C0C"/>
                <w:w w:val="99"/>
              </w:rPr>
              <w:t>系统</w:t>
            </w:r>
          </w:p>
        </w:tc>
        <w:tc>
          <w:tcPr>
            <w:tcW w:w="660" w:type="dxa"/>
            <w:vAlign w:val="bottom"/>
            <w:tcBorders>
              <w:right w:val="single" w:sz="8" w:color="auto"/>
            </w:tcBorders>
            <w:vMerge w:val="continue"/>
          </w:tcPr>
          <w:p>
            <w:pPr>
              <w:spacing w:after="0"/>
              <w:rPr>
                <w:sz w:val="16"/>
                <w:szCs w:val="16"/>
                <w:color w:val="auto"/>
              </w:rPr>
            </w:pPr>
          </w:p>
        </w:tc>
        <w:tc>
          <w:tcPr>
            <w:tcW w:w="3160" w:type="dxa"/>
            <w:vAlign w:val="bottom"/>
            <w:tcBorders>
              <w:right w:val="single" w:sz="8" w:color="auto"/>
            </w:tcBorders>
            <w:vMerge w:val="continue"/>
          </w:tcPr>
          <w:p>
            <w:pPr>
              <w:spacing w:after="0"/>
              <w:rPr>
                <w:sz w:val="16"/>
                <w:szCs w:val="16"/>
                <w:color w:val="auto"/>
              </w:rPr>
            </w:pPr>
          </w:p>
        </w:tc>
        <w:tc>
          <w:tcPr>
            <w:tcW w:w="1460" w:type="dxa"/>
            <w:vAlign w:val="bottom"/>
            <w:tcBorders>
              <w:right w:val="single" w:sz="8" w:color="auto"/>
            </w:tcBorders>
            <w:vMerge w:val="continue"/>
          </w:tcPr>
          <w:p>
            <w:pPr>
              <w:spacing w:after="0"/>
              <w:rPr>
                <w:sz w:val="16"/>
                <w:szCs w:val="16"/>
                <w:color w:val="auto"/>
              </w:rPr>
            </w:pPr>
          </w:p>
        </w:tc>
        <w:tc>
          <w:tcPr>
            <w:tcW w:w="286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940" w:type="dxa"/>
            <w:vAlign w:val="bottom"/>
            <w:tcBorders>
              <w:left w:val="single" w:sz="8" w:color="auto"/>
              <w:right w:val="single" w:sz="8" w:color="auto"/>
            </w:tcBorders>
            <w:vMerge w:val="continue"/>
          </w:tcPr>
          <w:p>
            <w:pPr>
              <w:spacing w:after="0"/>
              <w:rPr>
                <w:sz w:val="14"/>
                <w:szCs w:val="14"/>
                <w:color w:val="auto"/>
              </w:rPr>
            </w:pPr>
          </w:p>
        </w:tc>
        <w:tc>
          <w:tcPr>
            <w:tcW w:w="660" w:type="dxa"/>
            <w:vAlign w:val="bottom"/>
            <w:tcBorders>
              <w:right w:val="single" w:sz="8" w:color="auto"/>
            </w:tcBorders>
          </w:tcPr>
          <w:p>
            <w:pPr>
              <w:spacing w:after="0"/>
              <w:rPr>
                <w:sz w:val="14"/>
                <w:szCs w:val="14"/>
                <w:color w:val="auto"/>
              </w:rPr>
            </w:pPr>
          </w:p>
        </w:tc>
        <w:tc>
          <w:tcPr>
            <w:tcW w:w="3160" w:type="dxa"/>
            <w:vAlign w:val="bottom"/>
            <w:tcBorders>
              <w:right w:val="single" w:sz="8" w:color="auto"/>
            </w:tcBorders>
          </w:tcPr>
          <w:p>
            <w:pPr>
              <w:spacing w:after="0"/>
              <w:rPr>
                <w:sz w:val="14"/>
                <w:szCs w:val="14"/>
                <w:color w:val="auto"/>
              </w:rPr>
            </w:pPr>
          </w:p>
        </w:tc>
        <w:tc>
          <w:tcPr>
            <w:tcW w:w="1460" w:type="dxa"/>
            <w:vAlign w:val="bottom"/>
            <w:tcBorders>
              <w:right w:val="single" w:sz="8" w:color="auto"/>
            </w:tcBorders>
          </w:tcPr>
          <w:p>
            <w:pPr>
              <w:spacing w:after="0"/>
              <w:rPr>
                <w:sz w:val="14"/>
                <w:szCs w:val="14"/>
                <w:color w:val="auto"/>
              </w:rPr>
            </w:pPr>
          </w:p>
        </w:tc>
        <w:tc>
          <w:tcPr>
            <w:tcW w:w="2860" w:type="dxa"/>
            <w:vAlign w:val="bottom"/>
            <w:tcBorders>
              <w:right w:val="single" w:sz="8" w:color="auto"/>
            </w:tcBorders>
            <w:vMerge w:val="restart"/>
          </w:tcPr>
          <w:p>
            <w:pPr>
              <w:ind w:left="80"/>
              <w:spacing w:after="0" w:line="267" w:lineRule="exact"/>
              <w:rPr>
                <w:sz w:val="20"/>
                <w:szCs w:val="20"/>
                <w:color w:val="auto"/>
              </w:rPr>
            </w:pPr>
            <w:r>
              <w:rPr>
                <w:rFonts w:ascii="宋体" w:cs="宋体" w:eastAsia="宋体" w:hAnsi="宋体"/>
                <w:sz w:val="22"/>
                <w:szCs w:val="22"/>
                <w:color w:val="0C0C0C"/>
              </w:rPr>
              <w:t>中下游</w:t>
            </w:r>
            <w:r>
              <w:rPr>
                <w:rFonts w:ascii="Arial" w:cs="Arial" w:eastAsia="Arial" w:hAnsi="Arial"/>
                <w:sz w:val="22"/>
                <w:szCs w:val="22"/>
                <w:color w:val="0C0C0C"/>
              </w:rPr>
              <w:t>≥30</w:t>
            </w:r>
          </w:p>
        </w:tc>
        <w:tc>
          <w:tcPr>
            <w:tcW w:w="0" w:type="dxa"/>
            <w:vAlign w:val="bottom"/>
          </w:tcPr>
          <w:p>
            <w:pPr>
              <w:spacing w:after="0"/>
              <w:rPr>
                <w:sz w:val="1"/>
                <w:szCs w:val="1"/>
                <w:color w:val="auto"/>
              </w:rPr>
            </w:pPr>
          </w:p>
        </w:tc>
      </w:tr>
      <w:tr>
        <w:trPr>
          <w:trHeight w:val="166"/>
        </w:trPr>
        <w:tc>
          <w:tcPr>
            <w:tcW w:w="940" w:type="dxa"/>
            <w:vAlign w:val="bottom"/>
            <w:tcBorders>
              <w:left w:val="single" w:sz="8" w:color="auto"/>
              <w:right w:val="single" w:sz="8" w:color="auto"/>
            </w:tcBorders>
          </w:tcPr>
          <w:p>
            <w:pPr>
              <w:spacing w:after="0"/>
              <w:rPr>
                <w:sz w:val="14"/>
                <w:szCs w:val="14"/>
                <w:color w:val="auto"/>
              </w:rPr>
            </w:pPr>
          </w:p>
        </w:tc>
        <w:tc>
          <w:tcPr>
            <w:tcW w:w="660" w:type="dxa"/>
            <w:vAlign w:val="bottom"/>
            <w:tcBorders>
              <w:right w:val="single" w:sz="8" w:color="auto"/>
            </w:tcBorders>
          </w:tcPr>
          <w:p>
            <w:pPr>
              <w:spacing w:after="0"/>
              <w:rPr>
                <w:sz w:val="14"/>
                <w:szCs w:val="14"/>
                <w:color w:val="auto"/>
              </w:rPr>
            </w:pPr>
          </w:p>
        </w:tc>
        <w:tc>
          <w:tcPr>
            <w:tcW w:w="3160" w:type="dxa"/>
            <w:vAlign w:val="bottom"/>
            <w:tcBorders>
              <w:right w:val="single" w:sz="8" w:color="auto"/>
            </w:tcBorders>
          </w:tcPr>
          <w:p>
            <w:pPr>
              <w:spacing w:after="0"/>
              <w:rPr>
                <w:sz w:val="14"/>
                <w:szCs w:val="14"/>
                <w:color w:val="auto"/>
              </w:rPr>
            </w:pPr>
          </w:p>
        </w:tc>
        <w:tc>
          <w:tcPr>
            <w:tcW w:w="1460" w:type="dxa"/>
            <w:vAlign w:val="bottom"/>
            <w:tcBorders>
              <w:right w:val="single" w:sz="8" w:color="auto"/>
            </w:tcBorders>
          </w:tcPr>
          <w:p>
            <w:pPr>
              <w:spacing w:after="0"/>
              <w:rPr>
                <w:sz w:val="14"/>
                <w:szCs w:val="14"/>
                <w:color w:val="auto"/>
              </w:rPr>
            </w:pPr>
          </w:p>
        </w:tc>
        <w:tc>
          <w:tcPr>
            <w:tcW w:w="286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2"/>
        </w:trPr>
        <w:tc>
          <w:tcPr>
            <w:tcW w:w="940" w:type="dxa"/>
            <w:vAlign w:val="bottom"/>
            <w:tcBorders>
              <w:left w:val="single" w:sz="8" w:color="auto"/>
              <w:right w:val="single" w:sz="8" w:color="auto"/>
            </w:tcBorders>
          </w:tcPr>
          <w:p>
            <w:pPr>
              <w:spacing w:after="0"/>
              <w:rPr>
                <w:sz w:val="2"/>
                <w:szCs w:val="2"/>
                <w:color w:val="auto"/>
              </w:rPr>
            </w:pPr>
          </w:p>
        </w:tc>
        <w:tc>
          <w:tcPr>
            <w:tcW w:w="660" w:type="dxa"/>
            <w:vAlign w:val="bottom"/>
            <w:tcBorders>
              <w:bottom w:val="single" w:sz="8" w:color="auto"/>
              <w:right w:val="single" w:sz="8" w:color="auto"/>
            </w:tcBorders>
          </w:tcPr>
          <w:p>
            <w:pPr>
              <w:spacing w:after="0"/>
              <w:rPr>
                <w:sz w:val="2"/>
                <w:szCs w:val="2"/>
                <w:color w:val="auto"/>
              </w:rPr>
            </w:pPr>
          </w:p>
        </w:tc>
        <w:tc>
          <w:tcPr>
            <w:tcW w:w="3160" w:type="dxa"/>
            <w:vAlign w:val="bottom"/>
            <w:tcBorders>
              <w:bottom w:val="single" w:sz="8" w:color="auto"/>
              <w:right w:val="single" w:sz="8" w:color="auto"/>
            </w:tcBorders>
          </w:tcPr>
          <w:p>
            <w:pPr>
              <w:spacing w:after="0"/>
              <w:rPr>
                <w:sz w:val="2"/>
                <w:szCs w:val="2"/>
                <w:color w:val="auto"/>
              </w:rPr>
            </w:pPr>
          </w:p>
        </w:tc>
        <w:tc>
          <w:tcPr>
            <w:tcW w:w="1460" w:type="dxa"/>
            <w:vAlign w:val="bottom"/>
            <w:tcBorders>
              <w:bottom w:val="single" w:sz="8" w:color="auto"/>
              <w:right w:val="single" w:sz="8" w:color="auto"/>
            </w:tcBorders>
          </w:tcPr>
          <w:p>
            <w:pPr>
              <w:spacing w:after="0"/>
              <w:rPr>
                <w:sz w:val="2"/>
                <w:szCs w:val="2"/>
                <w:color w:val="auto"/>
              </w:rPr>
            </w:pPr>
          </w:p>
        </w:tc>
        <w:tc>
          <w:tcPr>
            <w:tcW w:w="28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17"/>
        </w:trPr>
        <w:tc>
          <w:tcPr>
            <w:tcW w:w="940" w:type="dxa"/>
            <w:vAlign w:val="bottom"/>
            <w:tcBorders>
              <w:left w:val="single" w:sz="8" w:color="auto"/>
              <w:right w:val="single" w:sz="8" w:color="auto"/>
            </w:tcBorders>
          </w:tcPr>
          <w:p>
            <w:pPr>
              <w:spacing w:after="0"/>
              <w:rPr>
                <w:sz w:val="24"/>
                <w:szCs w:val="24"/>
                <w:color w:val="auto"/>
              </w:rPr>
            </w:pPr>
          </w:p>
        </w:tc>
        <w:tc>
          <w:tcPr>
            <w:tcW w:w="6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2"/>
                <w:szCs w:val="22"/>
                <w:color w:val="0C0C0C"/>
                <w:w w:val="97"/>
              </w:rPr>
              <w:t>9</w:t>
            </w:r>
          </w:p>
        </w:tc>
        <w:tc>
          <w:tcPr>
            <w:tcW w:w="3160" w:type="dxa"/>
            <w:vAlign w:val="bottom"/>
            <w:tcBorders>
              <w:right w:val="single" w:sz="8" w:color="auto"/>
            </w:tcBorders>
            <w:vMerge w:val="restart"/>
          </w:tcPr>
          <w:p>
            <w:pPr>
              <w:ind w:left="100"/>
              <w:spacing w:after="0" w:line="267" w:lineRule="exact"/>
              <w:rPr>
                <w:sz w:val="20"/>
                <w:szCs w:val="20"/>
                <w:color w:val="auto"/>
              </w:rPr>
            </w:pPr>
            <w:r>
              <w:rPr>
                <w:rFonts w:ascii="宋体" w:cs="宋体" w:eastAsia="宋体" w:hAnsi="宋体"/>
                <w:sz w:val="22"/>
                <w:szCs w:val="22"/>
                <w:color w:val="0C0C0C"/>
              </w:rPr>
              <w:t>城市污泥无害化处置率（</w:t>
            </w:r>
            <w:r>
              <w:rPr>
                <w:rFonts w:ascii="Arial" w:cs="Arial" w:eastAsia="Arial" w:hAnsi="Arial"/>
                <w:sz w:val="22"/>
                <w:szCs w:val="22"/>
                <w:color w:val="0C0C0C"/>
              </w:rPr>
              <w:t>%</w:t>
            </w:r>
            <w:r>
              <w:rPr>
                <w:rFonts w:ascii="宋体" w:cs="宋体" w:eastAsia="宋体" w:hAnsi="宋体"/>
                <w:sz w:val="22"/>
                <w:szCs w:val="22"/>
                <w:color w:val="0C0C0C"/>
              </w:rPr>
              <w:t>）</w:t>
            </w:r>
          </w:p>
        </w:tc>
        <w:tc>
          <w:tcPr>
            <w:tcW w:w="14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0C0C0C"/>
                <w:w w:val="99"/>
              </w:rPr>
              <w:t>地级及以上</w:t>
            </w:r>
          </w:p>
        </w:tc>
        <w:tc>
          <w:tcPr>
            <w:tcW w:w="2860" w:type="dxa"/>
            <w:vAlign w:val="bottom"/>
            <w:tcBorders>
              <w:right w:val="single" w:sz="8" w:color="auto"/>
            </w:tcBorders>
          </w:tcPr>
          <w:p>
            <w:pPr>
              <w:jc w:val="center"/>
              <w:spacing w:after="0" w:line="267" w:lineRule="exact"/>
              <w:rPr>
                <w:sz w:val="20"/>
                <w:szCs w:val="20"/>
                <w:color w:val="auto"/>
              </w:rPr>
            </w:pPr>
            <w:r>
              <w:rPr>
                <w:rFonts w:ascii="Arial" w:cs="Arial" w:eastAsia="Arial" w:hAnsi="Arial"/>
                <w:sz w:val="22"/>
                <w:szCs w:val="22"/>
                <w:color w:val="0C0C0C"/>
              </w:rPr>
              <w:t>≥90</w:t>
            </w:r>
            <w:r>
              <w:rPr>
                <w:rFonts w:ascii="宋体" w:cs="宋体" w:eastAsia="宋体" w:hAnsi="宋体"/>
                <w:sz w:val="22"/>
                <w:szCs w:val="22"/>
                <w:color w:val="0C0C0C"/>
              </w:rPr>
              <w:t>，其中地级及以上城市</w:t>
            </w:r>
          </w:p>
        </w:tc>
        <w:tc>
          <w:tcPr>
            <w:tcW w:w="0" w:type="dxa"/>
            <w:vAlign w:val="bottom"/>
          </w:tcPr>
          <w:p>
            <w:pPr>
              <w:spacing w:after="0"/>
              <w:rPr>
                <w:sz w:val="1"/>
                <w:szCs w:val="1"/>
                <w:color w:val="auto"/>
              </w:rPr>
            </w:pPr>
          </w:p>
        </w:tc>
      </w:tr>
      <w:tr>
        <w:trPr>
          <w:trHeight w:val="180"/>
        </w:trPr>
        <w:tc>
          <w:tcPr>
            <w:tcW w:w="940" w:type="dxa"/>
            <w:vAlign w:val="bottom"/>
            <w:tcBorders>
              <w:left w:val="single" w:sz="8" w:color="auto"/>
              <w:right w:val="single" w:sz="8" w:color="auto"/>
            </w:tcBorders>
          </w:tcPr>
          <w:p>
            <w:pPr>
              <w:spacing w:after="0"/>
              <w:rPr>
                <w:sz w:val="15"/>
                <w:szCs w:val="15"/>
                <w:color w:val="auto"/>
              </w:rPr>
            </w:pPr>
          </w:p>
        </w:tc>
        <w:tc>
          <w:tcPr>
            <w:tcW w:w="660" w:type="dxa"/>
            <w:vAlign w:val="bottom"/>
            <w:tcBorders>
              <w:right w:val="single" w:sz="8" w:color="auto"/>
            </w:tcBorders>
            <w:vMerge w:val="continue"/>
          </w:tcPr>
          <w:p>
            <w:pPr>
              <w:spacing w:after="0"/>
              <w:rPr>
                <w:sz w:val="15"/>
                <w:szCs w:val="15"/>
                <w:color w:val="auto"/>
              </w:rPr>
            </w:pPr>
          </w:p>
        </w:tc>
        <w:tc>
          <w:tcPr>
            <w:tcW w:w="3160" w:type="dxa"/>
            <w:vAlign w:val="bottom"/>
            <w:tcBorders>
              <w:right w:val="single" w:sz="8" w:color="auto"/>
            </w:tcBorders>
            <w:vMerge w:val="continue"/>
          </w:tcPr>
          <w:p>
            <w:pPr>
              <w:spacing w:after="0"/>
              <w:rPr>
                <w:sz w:val="15"/>
                <w:szCs w:val="15"/>
                <w:color w:val="auto"/>
              </w:rPr>
            </w:pPr>
          </w:p>
        </w:tc>
        <w:tc>
          <w:tcPr>
            <w:tcW w:w="1460" w:type="dxa"/>
            <w:vAlign w:val="bottom"/>
            <w:tcBorders>
              <w:right w:val="single" w:sz="8" w:color="auto"/>
            </w:tcBorders>
            <w:vMerge w:val="restart"/>
          </w:tcPr>
          <w:p>
            <w:pPr>
              <w:jc w:val="center"/>
              <w:spacing w:after="0" w:line="267" w:lineRule="exact"/>
              <w:rPr>
                <w:sz w:val="20"/>
                <w:szCs w:val="20"/>
                <w:color w:val="auto"/>
              </w:rPr>
            </w:pPr>
            <w:r>
              <w:rPr>
                <w:rFonts w:ascii="宋体" w:cs="宋体" w:eastAsia="宋体" w:hAnsi="宋体"/>
                <w:sz w:val="22"/>
                <w:szCs w:val="22"/>
                <w:color w:val="0C0C0C"/>
                <w:w w:val="97"/>
              </w:rPr>
              <w:t>城市</w:t>
            </w:r>
            <w:r>
              <w:rPr>
                <w:rFonts w:ascii="Arial" w:cs="Arial" w:eastAsia="Arial" w:hAnsi="Arial"/>
                <w:sz w:val="22"/>
                <w:szCs w:val="22"/>
                <w:color w:val="0C0C0C"/>
                <w:w w:val="97"/>
              </w:rPr>
              <w:t xml:space="preserve"> 90 </w:t>
            </w:r>
            <w:r>
              <w:rPr>
                <w:rFonts w:ascii="宋体" w:cs="宋体" w:eastAsia="宋体" w:hAnsi="宋体"/>
                <w:sz w:val="22"/>
                <w:szCs w:val="22"/>
                <w:color w:val="0C0C0C"/>
                <w:w w:val="97"/>
              </w:rPr>
              <w:t>左右</w:t>
            </w:r>
          </w:p>
        </w:tc>
        <w:tc>
          <w:tcPr>
            <w:tcW w:w="2860" w:type="dxa"/>
            <w:vAlign w:val="bottom"/>
            <w:tcBorders>
              <w:right w:val="single" w:sz="8" w:color="auto"/>
            </w:tcBorders>
            <w:vMerge w:val="restart"/>
          </w:tcPr>
          <w:p>
            <w:pPr>
              <w:ind w:left="80"/>
              <w:spacing w:after="0"/>
              <w:rPr>
                <w:sz w:val="20"/>
                <w:szCs w:val="20"/>
                <w:color w:val="auto"/>
              </w:rPr>
            </w:pPr>
            <w:r>
              <w:rPr>
                <w:rFonts w:ascii="Arial" w:cs="Arial" w:eastAsia="Arial" w:hAnsi="Arial"/>
                <w:sz w:val="22"/>
                <w:szCs w:val="22"/>
                <w:color w:val="0C0C0C"/>
              </w:rPr>
              <w:t>≥95</w:t>
            </w:r>
          </w:p>
        </w:tc>
        <w:tc>
          <w:tcPr>
            <w:tcW w:w="0" w:type="dxa"/>
            <w:vAlign w:val="bottom"/>
          </w:tcPr>
          <w:p>
            <w:pPr>
              <w:spacing w:after="0"/>
              <w:rPr>
                <w:sz w:val="1"/>
                <w:szCs w:val="1"/>
                <w:color w:val="auto"/>
              </w:rPr>
            </w:pPr>
          </w:p>
        </w:tc>
      </w:tr>
      <w:tr>
        <w:trPr>
          <w:trHeight w:val="180"/>
        </w:trPr>
        <w:tc>
          <w:tcPr>
            <w:tcW w:w="940" w:type="dxa"/>
            <w:vAlign w:val="bottom"/>
            <w:tcBorders>
              <w:left w:val="single" w:sz="8" w:color="auto"/>
              <w:right w:val="single" w:sz="8" w:color="auto"/>
            </w:tcBorders>
          </w:tcPr>
          <w:p>
            <w:pPr>
              <w:spacing w:after="0"/>
              <w:rPr>
                <w:sz w:val="15"/>
                <w:szCs w:val="15"/>
                <w:color w:val="auto"/>
              </w:rPr>
            </w:pPr>
          </w:p>
        </w:tc>
        <w:tc>
          <w:tcPr>
            <w:tcW w:w="660" w:type="dxa"/>
            <w:vAlign w:val="bottom"/>
            <w:tcBorders>
              <w:right w:val="single" w:sz="8" w:color="auto"/>
            </w:tcBorders>
          </w:tcPr>
          <w:p>
            <w:pPr>
              <w:spacing w:after="0"/>
              <w:rPr>
                <w:sz w:val="15"/>
                <w:szCs w:val="15"/>
                <w:color w:val="auto"/>
              </w:rPr>
            </w:pPr>
          </w:p>
        </w:tc>
        <w:tc>
          <w:tcPr>
            <w:tcW w:w="3160" w:type="dxa"/>
            <w:vAlign w:val="bottom"/>
            <w:tcBorders>
              <w:right w:val="single" w:sz="8" w:color="auto"/>
            </w:tcBorders>
          </w:tcPr>
          <w:p>
            <w:pPr>
              <w:spacing w:after="0"/>
              <w:rPr>
                <w:sz w:val="15"/>
                <w:szCs w:val="15"/>
                <w:color w:val="auto"/>
              </w:rPr>
            </w:pPr>
          </w:p>
        </w:tc>
        <w:tc>
          <w:tcPr>
            <w:tcW w:w="1460" w:type="dxa"/>
            <w:vAlign w:val="bottom"/>
            <w:tcBorders>
              <w:right w:val="single" w:sz="8" w:color="auto"/>
            </w:tcBorders>
            <w:vMerge w:val="continue"/>
          </w:tcPr>
          <w:p>
            <w:pPr>
              <w:spacing w:after="0"/>
              <w:rPr>
                <w:sz w:val="15"/>
                <w:szCs w:val="15"/>
                <w:color w:val="auto"/>
              </w:rPr>
            </w:pPr>
          </w:p>
        </w:tc>
        <w:tc>
          <w:tcPr>
            <w:tcW w:w="286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33"/>
        </w:trPr>
        <w:tc>
          <w:tcPr>
            <w:tcW w:w="940" w:type="dxa"/>
            <w:vAlign w:val="bottom"/>
            <w:tcBorders>
              <w:left w:val="single" w:sz="8" w:color="auto"/>
              <w:bottom w:val="single" w:sz="8" w:color="auto"/>
              <w:right w:val="single" w:sz="8" w:color="auto"/>
            </w:tcBorders>
          </w:tcPr>
          <w:p>
            <w:pPr>
              <w:spacing w:after="0"/>
              <w:rPr>
                <w:sz w:val="2"/>
                <w:szCs w:val="2"/>
                <w:color w:val="auto"/>
              </w:rPr>
            </w:pPr>
          </w:p>
        </w:tc>
        <w:tc>
          <w:tcPr>
            <w:tcW w:w="660" w:type="dxa"/>
            <w:vAlign w:val="bottom"/>
            <w:tcBorders>
              <w:bottom w:val="single" w:sz="8" w:color="auto"/>
              <w:right w:val="single" w:sz="8" w:color="auto"/>
            </w:tcBorders>
          </w:tcPr>
          <w:p>
            <w:pPr>
              <w:spacing w:after="0"/>
              <w:rPr>
                <w:sz w:val="2"/>
                <w:szCs w:val="2"/>
                <w:color w:val="auto"/>
              </w:rPr>
            </w:pPr>
          </w:p>
        </w:tc>
        <w:tc>
          <w:tcPr>
            <w:tcW w:w="3160" w:type="dxa"/>
            <w:vAlign w:val="bottom"/>
            <w:tcBorders>
              <w:bottom w:val="single" w:sz="8" w:color="auto"/>
              <w:right w:val="single" w:sz="8" w:color="auto"/>
            </w:tcBorders>
          </w:tcPr>
          <w:p>
            <w:pPr>
              <w:spacing w:after="0"/>
              <w:rPr>
                <w:sz w:val="2"/>
                <w:szCs w:val="2"/>
                <w:color w:val="auto"/>
              </w:rPr>
            </w:pPr>
          </w:p>
        </w:tc>
        <w:tc>
          <w:tcPr>
            <w:tcW w:w="1460" w:type="dxa"/>
            <w:vAlign w:val="bottom"/>
            <w:tcBorders>
              <w:bottom w:val="single" w:sz="8" w:color="auto"/>
              <w:right w:val="single" w:sz="8" w:color="auto"/>
            </w:tcBorders>
          </w:tcPr>
          <w:p>
            <w:pPr>
              <w:spacing w:after="0"/>
              <w:rPr>
                <w:sz w:val="2"/>
                <w:szCs w:val="2"/>
                <w:color w:val="auto"/>
              </w:rPr>
            </w:pPr>
          </w:p>
        </w:tc>
        <w:tc>
          <w:tcPr>
            <w:tcW w:w="28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17"/>
        </w:trPr>
        <w:tc>
          <w:tcPr>
            <w:tcW w:w="940" w:type="dxa"/>
            <w:vAlign w:val="bottom"/>
            <w:tcBorders>
              <w:left w:val="single" w:sz="8" w:color="auto"/>
              <w:right w:val="single" w:sz="8" w:color="auto"/>
            </w:tcBorders>
          </w:tcPr>
          <w:p>
            <w:pPr>
              <w:spacing w:after="0"/>
              <w:rPr>
                <w:sz w:val="24"/>
                <w:szCs w:val="24"/>
                <w:color w:val="auto"/>
              </w:rPr>
            </w:pPr>
          </w:p>
        </w:tc>
        <w:tc>
          <w:tcPr>
            <w:tcW w:w="66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w w:val="89"/>
              </w:rPr>
              <w:t>10</w:t>
            </w:r>
          </w:p>
        </w:tc>
        <w:tc>
          <w:tcPr>
            <w:tcW w:w="3160" w:type="dxa"/>
            <w:vAlign w:val="bottom"/>
            <w:tcBorders>
              <w:right w:val="single" w:sz="8" w:color="auto"/>
            </w:tcBorders>
          </w:tcPr>
          <w:p>
            <w:pPr>
              <w:ind w:left="100"/>
              <w:spacing w:after="0" w:line="267" w:lineRule="exact"/>
              <w:rPr>
                <w:sz w:val="20"/>
                <w:szCs w:val="20"/>
                <w:color w:val="auto"/>
              </w:rPr>
            </w:pPr>
            <w:r>
              <w:rPr>
                <w:rFonts w:ascii="宋体" w:cs="宋体" w:eastAsia="宋体" w:hAnsi="宋体"/>
                <w:sz w:val="22"/>
                <w:szCs w:val="22"/>
                <w:color w:val="0C0C0C"/>
              </w:rPr>
              <w:t>城市供热管网热损失率（</w:t>
            </w:r>
            <w:r>
              <w:rPr>
                <w:rFonts w:ascii="Arial" w:cs="Arial" w:eastAsia="Arial" w:hAnsi="Arial"/>
                <w:sz w:val="22"/>
                <w:szCs w:val="22"/>
                <w:color w:val="0C0C0C"/>
              </w:rPr>
              <w:t>%</w:t>
            </w:r>
            <w:r>
              <w:rPr>
                <w:rFonts w:ascii="宋体" w:cs="宋体" w:eastAsia="宋体" w:hAnsi="宋体"/>
                <w:sz w:val="22"/>
                <w:szCs w:val="22"/>
                <w:color w:val="0C0C0C"/>
              </w:rPr>
              <w:t>）</w:t>
            </w:r>
          </w:p>
        </w:tc>
        <w:tc>
          <w:tcPr>
            <w:tcW w:w="1460" w:type="dxa"/>
            <w:vAlign w:val="bottom"/>
            <w:tcBorders>
              <w:right w:val="single" w:sz="8" w:color="auto"/>
            </w:tcBorders>
          </w:tcPr>
          <w:p>
            <w:pPr>
              <w:jc w:val="center"/>
              <w:spacing w:after="0" w:line="267" w:lineRule="exact"/>
              <w:rPr>
                <w:sz w:val="20"/>
                <w:szCs w:val="20"/>
                <w:color w:val="auto"/>
              </w:rPr>
            </w:pPr>
            <w:r>
              <w:rPr>
                <w:rFonts w:ascii="宋体" w:cs="宋体" w:eastAsia="宋体" w:hAnsi="宋体"/>
                <w:sz w:val="22"/>
                <w:szCs w:val="22"/>
                <w:color w:val="0C0C0C"/>
                <w:w w:val="93"/>
              </w:rPr>
              <w:t>平均</w:t>
            </w:r>
            <w:r>
              <w:rPr>
                <w:rFonts w:ascii="Arial" w:cs="Arial" w:eastAsia="Arial" w:hAnsi="Arial"/>
                <w:sz w:val="22"/>
                <w:szCs w:val="22"/>
                <w:color w:val="0C0C0C"/>
                <w:w w:val="93"/>
              </w:rPr>
              <w:t xml:space="preserve"> 20</w:t>
            </w:r>
          </w:p>
        </w:tc>
        <w:tc>
          <w:tcPr>
            <w:tcW w:w="2860" w:type="dxa"/>
            <w:vAlign w:val="bottom"/>
            <w:tcBorders>
              <w:right w:val="single" w:sz="8" w:color="auto"/>
            </w:tcBorders>
          </w:tcPr>
          <w:p>
            <w:pPr>
              <w:jc w:val="center"/>
              <w:spacing w:after="0" w:line="267" w:lineRule="exact"/>
              <w:rPr>
                <w:sz w:val="20"/>
                <w:szCs w:val="20"/>
                <w:color w:val="auto"/>
              </w:rPr>
            </w:pPr>
            <w:r>
              <w:rPr>
                <w:rFonts w:ascii="宋体" w:cs="宋体" w:eastAsia="宋体" w:hAnsi="宋体"/>
                <w:sz w:val="22"/>
                <w:szCs w:val="22"/>
                <w:color w:val="0C0C0C"/>
                <w:w w:val="94"/>
              </w:rPr>
              <w:t>较</w:t>
            </w:r>
            <w:r>
              <w:rPr>
                <w:rFonts w:ascii="Arial" w:cs="Arial" w:eastAsia="Arial" w:hAnsi="Arial"/>
                <w:sz w:val="22"/>
                <w:szCs w:val="22"/>
                <w:color w:val="0C0C0C"/>
                <w:w w:val="94"/>
              </w:rPr>
              <w:t xml:space="preserve"> 2020 </w:t>
            </w:r>
            <w:r>
              <w:rPr>
                <w:rFonts w:ascii="宋体" w:cs="宋体" w:eastAsia="宋体" w:hAnsi="宋体"/>
                <w:sz w:val="22"/>
                <w:szCs w:val="22"/>
                <w:color w:val="0C0C0C"/>
                <w:w w:val="94"/>
              </w:rPr>
              <w:t>年降低</w:t>
            </w:r>
            <w:r>
              <w:rPr>
                <w:rFonts w:ascii="Arial" w:cs="Arial" w:eastAsia="Arial" w:hAnsi="Arial"/>
                <w:sz w:val="22"/>
                <w:szCs w:val="22"/>
                <w:color w:val="0C0C0C"/>
                <w:w w:val="94"/>
              </w:rPr>
              <w:t xml:space="preserve"> 2.5 </w:t>
            </w:r>
            <w:r>
              <w:rPr>
                <w:rFonts w:ascii="宋体" w:cs="宋体" w:eastAsia="宋体" w:hAnsi="宋体"/>
                <w:sz w:val="22"/>
                <w:szCs w:val="22"/>
                <w:color w:val="0C0C0C"/>
                <w:w w:val="94"/>
              </w:rPr>
              <w:t>个百分点</w:t>
            </w:r>
          </w:p>
        </w:tc>
        <w:tc>
          <w:tcPr>
            <w:tcW w:w="0" w:type="dxa"/>
            <w:vAlign w:val="bottom"/>
          </w:tcPr>
          <w:p>
            <w:pPr>
              <w:spacing w:after="0"/>
              <w:rPr>
                <w:sz w:val="1"/>
                <w:szCs w:val="1"/>
                <w:color w:val="auto"/>
              </w:rPr>
            </w:pPr>
          </w:p>
        </w:tc>
      </w:tr>
      <w:tr>
        <w:trPr>
          <w:trHeight w:val="33"/>
        </w:trPr>
        <w:tc>
          <w:tcPr>
            <w:tcW w:w="940" w:type="dxa"/>
            <w:vAlign w:val="bottom"/>
            <w:tcBorders>
              <w:left w:val="single" w:sz="8" w:color="auto"/>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0C0C0C"/>
                <w:w w:val="99"/>
              </w:rPr>
              <w:t>能源</w:t>
            </w:r>
          </w:p>
        </w:tc>
        <w:tc>
          <w:tcPr>
            <w:tcW w:w="660" w:type="dxa"/>
            <w:vAlign w:val="bottom"/>
            <w:tcBorders>
              <w:bottom w:val="single" w:sz="8" w:color="auto"/>
              <w:right w:val="single" w:sz="8" w:color="auto"/>
            </w:tcBorders>
          </w:tcPr>
          <w:p>
            <w:pPr>
              <w:spacing w:after="0"/>
              <w:rPr>
                <w:sz w:val="2"/>
                <w:szCs w:val="2"/>
                <w:color w:val="auto"/>
              </w:rPr>
            </w:pPr>
          </w:p>
        </w:tc>
        <w:tc>
          <w:tcPr>
            <w:tcW w:w="3160" w:type="dxa"/>
            <w:vAlign w:val="bottom"/>
            <w:tcBorders>
              <w:bottom w:val="single" w:sz="8" w:color="auto"/>
              <w:right w:val="single" w:sz="8" w:color="auto"/>
            </w:tcBorders>
          </w:tcPr>
          <w:p>
            <w:pPr>
              <w:spacing w:after="0"/>
              <w:rPr>
                <w:sz w:val="2"/>
                <w:szCs w:val="2"/>
                <w:color w:val="auto"/>
              </w:rPr>
            </w:pPr>
          </w:p>
        </w:tc>
        <w:tc>
          <w:tcPr>
            <w:tcW w:w="1460" w:type="dxa"/>
            <w:vAlign w:val="bottom"/>
            <w:tcBorders>
              <w:bottom w:val="single" w:sz="8" w:color="auto"/>
              <w:right w:val="single" w:sz="8" w:color="auto"/>
            </w:tcBorders>
          </w:tcPr>
          <w:p>
            <w:pPr>
              <w:spacing w:after="0"/>
              <w:rPr>
                <w:sz w:val="2"/>
                <w:szCs w:val="2"/>
                <w:color w:val="auto"/>
              </w:rPr>
            </w:pPr>
          </w:p>
        </w:tc>
        <w:tc>
          <w:tcPr>
            <w:tcW w:w="28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97"/>
        </w:trPr>
        <w:tc>
          <w:tcPr>
            <w:tcW w:w="940" w:type="dxa"/>
            <w:vAlign w:val="bottom"/>
            <w:tcBorders>
              <w:left w:val="single" w:sz="8" w:color="auto"/>
              <w:right w:val="single" w:sz="8" w:color="auto"/>
            </w:tcBorders>
            <w:vMerge w:val="continue"/>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316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2860" w:type="dxa"/>
            <w:vAlign w:val="bottom"/>
            <w:tcBorders>
              <w:right w:val="single" w:sz="8" w:color="auto"/>
            </w:tcBorders>
          </w:tcPr>
          <w:p>
            <w:pPr>
              <w:ind w:left="80"/>
              <w:spacing w:after="0" w:line="267" w:lineRule="exact"/>
              <w:rPr>
                <w:sz w:val="20"/>
                <w:szCs w:val="20"/>
                <w:color w:val="auto"/>
              </w:rPr>
            </w:pPr>
            <w:r>
              <w:rPr>
                <w:rFonts w:ascii="宋体" w:cs="宋体" w:eastAsia="宋体" w:hAnsi="宋体"/>
                <w:sz w:val="22"/>
                <w:szCs w:val="22"/>
                <w:color w:val="0C0C0C"/>
              </w:rPr>
              <w:t>大城市及以上规模城市</w:t>
            </w:r>
            <w:r>
              <w:rPr>
                <w:rFonts w:ascii="Arial" w:cs="Arial" w:eastAsia="Arial" w:hAnsi="Arial"/>
                <w:sz w:val="22"/>
                <w:szCs w:val="22"/>
                <w:color w:val="0C0C0C"/>
              </w:rPr>
              <w:t>≥85</w:t>
            </w:r>
          </w:p>
        </w:tc>
        <w:tc>
          <w:tcPr>
            <w:tcW w:w="0" w:type="dxa"/>
            <w:vAlign w:val="bottom"/>
          </w:tcPr>
          <w:p>
            <w:pPr>
              <w:spacing w:after="0"/>
              <w:rPr>
                <w:sz w:val="1"/>
                <w:szCs w:val="1"/>
                <w:color w:val="auto"/>
              </w:rPr>
            </w:pPr>
          </w:p>
        </w:tc>
      </w:tr>
      <w:tr>
        <w:trPr>
          <w:trHeight w:val="350"/>
        </w:trPr>
        <w:tc>
          <w:tcPr>
            <w:tcW w:w="940" w:type="dxa"/>
            <w:vAlign w:val="bottom"/>
            <w:tcBorders>
              <w:left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color w:val="0C0C0C"/>
                <w:w w:val="99"/>
              </w:rPr>
              <w:t>系统</w:t>
            </w:r>
          </w:p>
        </w:tc>
        <w:tc>
          <w:tcPr>
            <w:tcW w:w="66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w w:val="89"/>
              </w:rPr>
              <w:t>11</w:t>
            </w:r>
          </w:p>
        </w:tc>
        <w:tc>
          <w:tcPr>
            <w:tcW w:w="3160" w:type="dxa"/>
            <w:vAlign w:val="bottom"/>
            <w:tcBorders>
              <w:right w:val="single" w:sz="8" w:color="auto"/>
            </w:tcBorders>
          </w:tcPr>
          <w:p>
            <w:pPr>
              <w:ind w:left="100"/>
              <w:spacing w:after="0" w:line="267" w:lineRule="exact"/>
              <w:rPr>
                <w:sz w:val="20"/>
                <w:szCs w:val="20"/>
                <w:color w:val="auto"/>
              </w:rPr>
            </w:pPr>
            <w:r>
              <w:rPr>
                <w:rFonts w:ascii="宋体" w:cs="宋体" w:eastAsia="宋体" w:hAnsi="宋体"/>
                <w:sz w:val="22"/>
                <w:szCs w:val="22"/>
                <w:color w:val="0C0C0C"/>
              </w:rPr>
              <w:t>城镇管道燃气普及率（</w:t>
            </w:r>
            <w:r>
              <w:rPr>
                <w:rFonts w:ascii="Arial" w:cs="Arial" w:eastAsia="Arial" w:hAnsi="Arial"/>
                <w:sz w:val="22"/>
                <w:szCs w:val="22"/>
                <w:color w:val="0C0C0C"/>
              </w:rPr>
              <w:t>%</w:t>
            </w:r>
            <w:r>
              <w:rPr>
                <w:rFonts w:ascii="宋体" w:cs="宋体" w:eastAsia="宋体" w:hAnsi="宋体"/>
                <w:sz w:val="22"/>
                <w:szCs w:val="22"/>
                <w:color w:val="0C0C0C"/>
              </w:rPr>
              <w:t>）</w:t>
            </w:r>
          </w:p>
        </w:tc>
        <w:tc>
          <w:tcPr>
            <w:tcW w:w="146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rPr>
              <w:t>75.7*</w:t>
            </w:r>
          </w:p>
        </w:tc>
        <w:tc>
          <w:tcPr>
            <w:tcW w:w="2860" w:type="dxa"/>
            <w:vAlign w:val="bottom"/>
            <w:tcBorders>
              <w:right w:val="single" w:sz="8" w:color="auto"/>
            </w:tcBorders>
          </w:tcPr>
          <w:p>
            <w:pPr>
              <w:ind w:left="80"/>
              <w:spacing w:after="0" w:line="267" w:lineRule="exact"/>
              <w:rPr>
                <w:sz w:val="20"/>
                <w:szCs w:val="20"/>
                <w:color w:val="auto"/>
              </w:rPr>
            </w:pPr>
            <w:r>
              <w:rPr>
                <w:rFonts w:ascii="宋体" w:cs="宋体" w:eastAsia="宋体" w:hAnsi="宋体"/>
                <w:sz w:val="22"/>
                <w:szCs w:val="22"/>
                <w:color w:val="0C0C0C"/>
              </w:rPr>
              <w:t>中等城市</w:t>
            </w:r>
            <w:r>
              <w:rPr>
                <w:rFonts w:ascii="Arial" w:cs="Arial" w:eastAsia="Arial" w:hAnsi="Arial"/>
                <w:sz w:val="22"/>
                <w:szCs w:val="22"/>
                <w:color w:val="0C0C0C"/>
              </w:rPr>
              <w:t>≥75</w:t>
            </w:r>
          </w:p>
        </w:tc>
        <w:tc>
          <w:tcPr>
            <w:tcW w:w="0" w:type="dxa"/>
            <w:vAlign w:val="bottom"/>
          </w:tcPr>
          <w:p>
            <w:pPr>
              <w:spacing w:after="0"/>
              <w:rPr>
                <w:sz w:val="1"/>
                <w:szCs w:val="1"/>
                <w:color w:val="auto"/>
              </w:rPr>
            </w:pPr>
          </w:p>
        </w:tc>
      </w:tr>
      <w:tr>
        <w:trPr>
          <w:trHeight w:val="329"/>
        </w:trPr>
        <w:tc>
          <w:tcPr>
            <w:tcW w:w="940" w:type="dxa"/>
            <w:vAlign w:val="bottom"/>
            <w:tcBorders>
              <w:left w:val="single" w:sz="8" w:color="auto"/>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316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2860" w:type="dxa"/>
            <w:vAlign w:val="bottom"/>
            <w:tcBorders>
              <w:right w:val="single" w:sz="8" w:color="auto"/>
            </w:tcBorders>
          </w:tcPr>
          <w:p>
            <w:pPr>
              <w:ind w:left="80"/>
              <w:spacing w:after="0" w:line="267" w:lineRule="exact"/>
              <w:rPr>
                <w:sz w:val="20"/>
                <w:szCs w:val="20"/>
                <w:color w:val="auto"/>
              </w:rPr>
            </w:pPr>
            <w:r>
              <w:rPr>
                <w:rFonts w:ascii="宋体" w:cs="宋体" w:eastAsia="宋体" w:hAnsi="宋体"/>
                <w:sz w:val="22"/>
                <w:szCs w:val="22"/>
                <w:color w:val="0C0C0C"/>
              </w:rPr>
              <w:t>小城市</w:t>
            </w:r>
            <w:r>
              <w:rPr>
                <w:rFonts w:ascii="Arial" w:cs="Arial" w:eastAsia="Arial" w:hAnsi="Arial"/>
                <w:sz w:val="22"/>
                <w:szCs w:val="22"/>
                <w:color w:val="0C0C0C"/>
              </w:rPr>
              <w:t>≥60</w:t>
            </w:r>
          </w:p>
        </w:tc>
        <w:tc>
          <w:tcPr>
            <w:tcW w:w="0" w:type="dxa"/>
            <w:vAlign w:val="bottom"/>
          </w:tcPr>
          <w:p>
            <w:pPr>
              <w:spacing w:after="0"/>
              <w:rPr>
                <w:sz w:val="1"/>
                <w:szCs w:val="1"/>
                <w:color w:val="auto"/>
              </w:rPr>
            </w:pPr>
          </w:p>
        </w:tc>
      </w:tr>
      <w:tr>
        <w:trPr>
          <w:trHeight w:val="33"/>
        </w:trPr>
        <w:tc>
          <w:tcPr>
            <w:tcW w:w="940" w:type="dxa"/>
            <w:vAlign w:val="bottom"/>
            <w:tcBorders>
              <w:left w:val="single" w:sz="8" w:color="auto"/>
              <w:bottom w:val="single" w:sz="8" w:color="auto"/>
              <w:right w:val="single" w:sz="8" w:color="auto"/>
            </w:tcBorders>
          </w:tcPr>
          <w:p>
            <w:pPr>
              <w:spacing w:after="0"/>
              <w:rPr>
                <w:sz w:val="2"/>
                <w:szCs w:val="2"/>
                <w:color w:val="auto"/>
              </w:rPr>
            </w:pPr>
          </w:p>
        </w:tc>
        <w:tc>
          <w:tcPr>
            <w:tcW w:w="660" w:type="dxa"/>
            <w:vAlign w:val="bottom"/>
            <w:tcBorders>
              <w:bottom w:val="single" w:sz="8" w:color="auto"/>
              <w:right w:val="single" w:sz="8" w:color="auto"/>
            </w:tcBorders>
          </w:tcPr>
          <w:p>
            <w:pPr>
              <w:spacing w:after="0"/>
              <w:rPr>
                <w:sz w:val="2"/>
                <w:szCs w:val="2"/>
                <w:color w:val="auto"/>
              </w:rPr>
            </w:pPr>
          </w:p>
        </w:tc>
        <w:tc>
          <w:tcPr>
            <w:tcW w:w="3160" w:type="dxa"/>
            <w:vAlign w:val="bottom"/>
            <w:tcBorders>
              <w:bottom w:val="single" w:sz="8" w:color="auto"/>
              <w:right w:val="single" w:sz="8" w:color="auto"/>
            </w:tcBorders>
          </w:tcPr>
          <w:p>
            <w:pPr>
              <w:spacing w:after="0"/>
              <w:rPr>
                <w:sz w:val="2"/>
                <w:szCs w:val="2"/>
                <w:color w:val="auto"/>
              </w:rPr>
            </w:pPr>
          </w:p>
        </w:tc>
        <w:tc>
          <w:tcPr>
            <w:tcW w:w="1460" w:type="dxa"/>
            <w:vAlign w:val="bottom"/>
            <w:tcBorders>
              <w:bottom w:val="single" w:sz="8" w:color="auto"/>
              <w:right w:val="single" w:sz="8" w:color="auto"/>
            </w:tcBorders>
          </w:tcPr>
          <w:p>
            <w:pPr>
              <w:spacing w:after="0"/>
              <w:rPr>
                <w:sz w:val="2"/>
                <w:szCs w:val="2"/>
                <w:color w:val="auto"/>
              </w:rPr>
            </w:pPr>
          </w:p>
        </w:tc>
        <w:tc>
          <w:tcPr>
            <w:tcW w:w="28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21"/>
        </w:trPr>
        <w:tc>
          <w:tcPr>
            <w:tcW w:w="940" w:type="dxa"/>
            <w:vAlign w:val="bottom"/>
            <w:tcBorders>
              <w:left w:val="single" w:sz="8" w:color="auto"/>
              <w:right w:val="single" w:sz="8" w:color="auto"/>
            </w:tcBorders>
          </w:tcPr>
          <w:p>
            <w:pPr>
              <w:spacing w:after="0"/>
              <w:rPr>
                <w:sz w:val="24"/>
                <w:szCs w:val="24"/>
                <w:color w:val="auto"/>
              </w:rPr>
            </w:pPr>
          </w:p>
        </w:tc>
        <w:tc>
          <w:tcPr>
            <w:tcW w:w="66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w w:val="89"/>
              </w:rPr>
              <w:t>12</w:t>
            </w:r>
          </w:p>
        </w:tc>
        <w:tc>
          <w:tcPr>
            <w:tcW w:w="3160" w:type="dxa"/>
            <w:vAlign w:val="bottom"/>
            <w:tcBorders>
              <w:right w:val="single" w:sz="8" w:color="auto"/>
            </w:tcBorders>
          </w:tcPr>
          <w:p>
            <w:pPr>
              <w:ind w:left="100"/>
              <w:spacing w:after="0" w:line="267" w:lineRule="exact"/>
              <w:rPr>
                <w:sz w:val="20"/>
                <w:szCs w:val="20"/>
                <w:color w:val="auto"/>
              </w:rPr>
            </w:pPr>
            <w:r>
              <w:rPr>
                <w:rFonts w:ascii="宋体" w:cs="宋体" w:eastAsia="宋体" w:hAnsi="宋体"/>
                <w:sz w:val="22"/>
                <w:szCs w:val="22"/>
                <w:color w:val="0C0C0C"/>
                <w:w w:val="98"/>
              </w:rPr>
              <w:t>城市生活垃圾回收利用率（</w:t>
            </w:r>
            <w:r>
              <w:rPr>
                <w:rFonts w:ascii="Arial" w:cs="Arial" w:eastAsia="Arial" w:hAnsi="Arial"/>
                <w:sz w:val="22"/>
                <w:szCs w:val="22"/>
                <w:color w:val="0C0C0C"/>
                <w:w w:val="98"/>
              </w:rPr>
              <w:t>%</w:t>
            </w:r>
            <w:r>
              <w:rPr>
                <w:rFonts w:ascii="宋体" w:cs="宋体" w:eastAsia="宋体" w:hAnsi="宋体"/>
                <w:sz w:val="22"/>
                <w:szCs w:val="22"/>
                <w:color w:val="0C0C0C"/>
                <w:w w:val="98"/>
              </w:rPr>
              <w:t>）</w:t>
            </w:r>
          </w:p>
        </w:tc>
        <w:tc>
          <w:tcPr>
            <w:tcW w:w="146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rPr>
              <w:t>--</w:t>
            </w:r>
          </w:p>
        </w:tc>
        <w:tc>
          <w:tcPr>
            <w:tcW w:w="286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rPr>
              <w:t>≥35</w:t>
            </w:r>
          </w:p>
        </w:tc>
        <w:tc>
          <w:tcPr>
            <w:tcW w:w="0" w:type="dxa"/>
            <w:vAlign w:val="bottom"/>
          </w:tcPr>
          <w:p>
            <w:pPr>
              <w:spacing w:after="0"/>
              <w:rPr>
                <w:sz w:val="1"/>
                <w:szCs w:val="1"/>
                <w:color w:val="auto"/>
              </w:rPr>
            </w:pPr>
          </w:p>
        </w:tc>
      </w:tr>
      <w:tr>
        <w:trPr>
          <w:trHeight w:val="38"/>
        </w:trPr>
        <w:tc>
          <w:tcPr>
            <w:tcW w:w="940" w:type="dxa"/>
            <w:vAlign w:val="bottom"/>
            <w:tcBorders>
              <w:left w:val="single" w:sz="8" w:color="auto"/>
              <w:right w:val="single" w:sz="8" w:color="auto"/>
            </w:tcBorders>
          </w:tcPr>
          <w:p>
            <w:pPr>
              <w:spacing w:after="0"/>
              <w:rPr>
                <w:sz w:val="3"/>
                <w:szCs w:val="3"/>
                <w:color w:val="auto"/>
              </w:rPr>
            </w:pPr>
          </w:p>
        </w:tc>
        <w:tc>
          <w:tcPr>
            <w:tcW w:w="660" w:type="dxa"/>
            <w:vAlign w:val="bottom"/>
            <w:tcBorders>
              <w:bottom w:val="single" w:sz="8" w:color="auto"/>
              <w:right w:val="single" w:sz="8" w:color="auto"/>
            </w:tcBorders>
          </w:tcPr>
          <w:p>
            <w:pPr>
              <w:spacing w:after="0"/>
              <w:rPr>
                <w:sz w:val="3"/>
                <w:szCs w:val="3"/>
                <w:color w:val="auto"/>
              </w:rPr>
            </w:pPr>
          </w:p>
        </w:tc>
        <w:tc>
          <w:tcPr>
            <w:tcW w:w="3160" w:type="dxa"/>
            <w:vAlign w:val="bottom"/>
            <w:tcBorders>
              <w:bottom w:val="single" w:sz="8" w:color="auto"/>
              <w:right w:val="single" w:sz="8" w:color="auto"/>
            </w:tcBorders>
          </w:tcPr>
          <w:p>
            <w:pPr>
              <w:spacing w:after="0"/>
              <w:rPr>
                <w:sz w:val="3"/>
                <w:szCs w:val="3"/>
                <w:color w:val="auto"/>
              </w:rPr>
            </w:pPr>
          </w:p>
        </w:tc>
        <w:tc>
          <w:tcPr>
            <w:tcW w:w="1460" w:type="dxa"/>
            <w:vAlign w:val="bottom"/>
            <w:tcBorders>
              <w:bottom w:val="single" w:sz="8" w:color="auto"/>
              <w:right w:val="single" w:sz="8" w:color="auto"/>
            </w:tcBorders>
          </w:tcPr>
          <w:p>
            <w:pPr>
              <w:spacing w:after="0"/>
              <w:rPr>
                <w:sz w:val="3"/>
                <w:szCs w:val="3"/>
                <w:color w:val="auto"/>
              </w:rPr>
            </w:pPr>
          </w:p>
        </w:tc>
        <w:tc>
          <w:tcPr>
            <w:tcW w:w="28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97"/>
        </w:trPr>
        <w:tc>
          <w:tcPr>
            <w:tcW w:w="940" w:type="dxa"/>
            <w:vAlign w:val="bottom"/>
            <w:tcBorders>
              <w:left w:val="single" w:sz="8" w:color="auto"/>
              <w:right w:val="single" w:sz="8" w:color="auto"/>
            </w:tcBorders>
          </w:tcPr>
          <w:p>
            <w:pPr>
              <w:spacing w:after="0"/>
              <w:rPr>
                <w:sz w:val="24"/>
                <w:szCs w:val="24"/>
                <w:color w:val="auto"/>
              </w:rPr>
            </w:pPr>
          </w:p>
        </w:tc>
        <w:tc>
          <w:tcPr>
            <w:tcW w:w="6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2"/>
                <w:szCs w:val="22"/>
                <w:color w:val="0C0C0C"/>
                <w:w w:val="89"/>
              </w:rPr>
              <w:t>13</w:t>
            </w:r>
          </w:p>
        </w:tc>
        <w:tc>
          <w:tcPr>
            <w:tcW w:w="3160" w:type="dxa"/>
            <w:vAlign w:val="bottom"/>
            <w:tcBorders>
              <w:right w:val="single" w:sz="8" w:color="auto"/>
            </w:tcBorders>
          </w:tcPr>
          <w:p>
            <w:pPr>
              <w:ind w:left="100"/>
              <w:spacing w:after="0" w:line="251" w:lineRule="exact"/>
              <w:rPr>
                <w:sz w:val="20"/>
                <w:szCs w:val="20"/>
                <w:color w:val="auto"/>
              </w:rPr>
            </w:pPr>
            <w:r>
              <w:rPr>
                <w:rFonts w:ascii="宋体" w:cs="宋体" w:eastAsia="宋体" w:hAnsi="宋体"/>
                <w:sz w:val="22"/>
                <w:szCs w:val="22"/>
                <w:color w:val="0C0C0C"/>
              </w:rPr>
              <w:t>城市生活垃圾焚烧处理能力占</w:t>
            </w:r>
          </w:p>
        </w:tc>
        <w:tc>
          <w:tcPr>
            <w:tcW w:w="14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2"/>
                <w:szCs w:val="22"/>
                <w:color w:val="0C0C0C"/>
              </w:rPr>
              <w:t>58.9</w:t>
            </w:r>
          </w:p>
        </w:tc>
        <w:tc>
          <w:tcPr>
            <w:tcW w:w="286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rPr>
              <w:t>≥65</w:t>
            </w:r>
          </w:p>
        </w:tc>
        <w:tc>
          <w:tcPr>
            <w:tcW w:w="0" w:type="dxa"/>
            <w:vAlign w:val="bottom"/>
          </w:tcPr>
          <w:p>
            <w:pPr>
              <w:spacing w:after="0"/>
              <w:rPr>
                <w:sz w:val="1"/>
                <w:szCs w:val="1"/>
                <w:color w:val="auto"/>
              </w:rPr>
            </w:pPr>
          </w:p>
        </w:tc>
      </w:tr>
      <w:tr>
        <w:trPr>
          <w:trHeight w:val="180"/>
        </w:trPr>
        <w:tc>
          <w:tcPr>
            <w:tcW w:w="940" w:type="dxa"/>
            <w:vAlign w:val="bottom"/>
            <w:tcBorders>
              <w:left w:val="single" w:sz="8" w:color="auto"/>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0C0C0C"/>
                <w:w w:val="99"/>
              </w:rPr>
              <w:t>环卫</w:t>
            </w:r>
          </w:p>
        </w:tc>
        <w:tc>
          <w:tcPr>
            <w:tcW w:w="660" w:type="dxa"/>
            <w:vAlign w:val="bottom"/>
            <w:tcBorders>
              <w:right w:val="single" w:sz="8" w:color="auto"/>
            </w:tcBorders>
            <w:vMerge w:val="continue"/>
          </w:tcPr>
          <w:p>
            <w:pPr>
              <w:spacing w:after="0"/>
              <w:rPr>
                <w:sz w:val="15"/>
                <w:szCs w:val="15"/>
                <w:color w:val="auto"/>
              </w:rPr>
            </w:pPr>
          </w:p>
        </w:tc>
        <w:tc>
          <w:tcPr>
            <w:tcW w:w="3160" w:type="dxa"/>
            <w:vAlign w:val="bottom"/>
            <w:tcBorders>
              <w:right w:val="single" w:sz="8" w:color="auto"/>
            </w:tcBorders>
            <w:vMerge w:val="restart"/>
          </w:tcPr>
          <w:p>
            <w:pPr>
              <w:ind w:left="100"/>
              <w:spacing w:after="0" w:line="267" w:lineRule="exact"/>
              <w:rPr>
                <w:sz w:val="20"/>
                <w:szCs w:val="20"/>
                <w:color w:val="auto"/>
              </w:rPr>
            </w:pPr>
            <w:r>
              <w:rPr>
                <w:rFonts w:ascii="宋体" w:cs="宋体" w:eastAsia="宋体" w:hAnsi="宋体"/>
                <w:sz w:val="22"/>
                <w:szCs w:val="22"/>
                <w:color w:val="0C0C0C"/>
              </w:rPr>
              <w:t>比（</w:t>
            </w:r>
            <w:r>
              <w:rPr>
                <w:rFonts w:ascii="Arial" w:cs="Arial" w:eastAsia="Arial" w:hAnsi="Arial"/>
                <w:sz w:val="22"/>
                <w:szCs w:val="22"/>
                <w:color w:val="0C0C0C"/>
              </w:rPr>
              <w:t>%</w:t>
            </w:r>
            <w:r>
              <w:rPr>
                <w:rFonts w:ascii="宋体" w:cs="宋体" w:eastAsia="宋体" w:hAnsi="宋体"/>
                <w:sz w:val="22"/>
                <w:szCs w:val="22"/>
                <w:color w:val="0C0C0C"/>
              </w:rPr>
              <w:t>）</w:t>
            </w:r>
          </w:p>
        </w:tc>
        <w:tc>
          <w:tcPr>
            <w:tcW w:w="1460" w:type="dxa"/>
            <w:vAlign w:val="bottom"/>
            <w:tcBorders>
              <w:right w:val="single" w:sz="8" w:color="auto"/>
            </w:tcBorders>
            <w:vMerge w:val="continue"/>
          </w:tcPr>
          <w:p>
            <w:pPr>
              <w:spacing w:after="0"/>
              <w:rPr>
                <w:sz w:val="15"/>
                <w:szCs w:val="15"/>
                <w:color w:val="auto"/>
              </w:rPr>
            </w:pPr>
          </w:p>
        </w:tc>
        <w:tc>
          <w:tcPr>
            <w:tcW w:w="2860" w:type="dxa"/>
            <w:vAlign w:val="bottom"/>
            <w:tcBorders>
              <w:right w:val="single" w:sz="8" w:color="auto"/>
            </w:tcBorders>
            <w:vMerge w:val="restart"/>
          </w:tcPr>
          <w:p>
            <w:pPr>
              <w:ind w:left="80"/>
              <w:spacing w:after="0" w:line="267" w:lineRule="exact"/>
              <w:rPr>
                <w:sz w:val="20"/>
                <w:szCs w:val="20"/>
                <w:color w:val="auto"/>
              </w:rPr>
            </w:pPr>
            <w:r>
              <w:rPr>
                <w:rFonts w:ascii="宋体" w:cs="宋体" w:eastAsia="宋体" w:hAnsi="宋体"/>
                <w:sz w:val="22"/>
                <w:szCs w:val="22"/>
                <w:color w:val="0C0C0C"/>
              </w:rPr>
              <w:t>（西部地区</w:t>
            </w:r>
            <w:r>
              <w:rPr>
                <w:rFonts w:ascii="Arial" w:cs="Arial" w:eastAsia="Arial" w:hAnsi="Arial"/>
                <w:sz w:val="22"/>
                <w:szCs w:val="22"/>
                <w:color w:val="0C0C0C"/>
              </w:rPr>
              <w:t>≥40</w:t>
            </w:r>
            <w:r>
              <w:rPr>
                <w:rFonts w:ascii="宋体" w:cs="宋体" w:eastAsia="宋体" w:hAnsi="宋体"/>
                <w:sz w:val="22"/>
                <w:szCs w:val="22"/>
                <w:color w:val="0C0C0C"/>
              </w:rPr>
              <w:t>）</w:t>
            </w:r>
          </w:p>
        </w:tc>
        <w:tc>
          <w:tcPr>
            <w:tcW w:w="0" w:type="dxa"/>
            <w:vAlign w:val="bottom"/>
          </w:tcPr>
          <w:p>
            <w:pPr>
              <w:spacing w:after="0"/>
              <w:rPr>
                <w:sz w:val="1"/>
                <w:szCs w:val="1"/>
                <w:color w:val="auto"/>
              </w:rPr>
            </w:pPr>
          </w:p>
        </w:tc>
      </w:tr>
      <w:tr>
        <w:trPr>
          <w:trHeight w:val="189"/>
        </w:trPr>
        <w:tc>
          <w:tcPr>
            <w:tcW w:w="940" w:type="dxa"/>
            <w:vAlign w:val="bottom"/>
            <w:tcBorders>
              <w:left w:val="single" w:sz="8" w:color="auto"/>
              <w:right w:val="single" w:sz="8" w:color="auto"/>
            </w:tcBorders>
            <w:vMerge w:val="continue"/>
          </w:tcPr>
          <w:p>
            <w:pPr>
              <w:spacing w:after="0"/>
              <w:rPr>
                <w:sz w:val="16"/>
                <w:szCs w:val="16"/>
                <w:color w:val="auto"/>
              </w:rPr>
            </w:pPr>
          </w:p>
        </w:tc>
        <w:tc>
          <w:tcPr>
            <w:tcW w:w="660" w:type="dxa"/>
            <w:vAlign w:val="bottom"/>
            <w:tcBorders>
              <w:bottom w:val="single" w:sz="8" w:color="auto"/>
              <w:right w:val="single" w:sz="8" w:color="auto"/>
            </w:tcBorders>
          </w:tcPr>
          <w:p>
            <w:pPr>
              <w:spacing w:after="0"/>
              <w:rPr>
                <w:sz w:val="16"/>
                <w:szCs w:val="16"/>
                <w:color w:val="auto"/>
              </w:rPr>
            </w:pPr>
          </w:p>
        </w:tc>
        <w:tc>
          <w:tcPr>
            <w:tcW w:w="3160" w:type="dxa"/>
            <w:vAlign w:val="bottom"/>
            <w:tcBorders>
              <w:bottom w:val="single" w:sz="8" w:color="auto"/>
              <w:right w:val="single" w:sz="8" w:color="auto"/>
            </w:tcBorders>
            <w:vMerge w:val="continue"/>
          </w:tcPr>
          <w:p>
            <w:pPr>
              <w:spacing w:after="0"/>
              <w:rPr>
                <w:sz w:val="16"/>
                <w:szCs w:val="16"/>
                <w:color w:val="auto"/>
              </w:rPr>
            </w:pPr>
          </w:p>
        </w:tc>
        <w:tc>
          <w:tcPr>
            <w:tcW w:w="1460" w:type="dxa"/>
            <w:vAlign w:val="bottom"/>
            <w:tcBorders>
              <w:bottom w:val="single" w:sz="8" w:color="auto"/>
              <w:right w:val="single" w:sz="8" w:color="auto"/>
            </w:tcBorders>
          </w:tcPr>
          <w:p>
            <w:pPr>
              <w:spacing w:after="0"/>
              <w:rPr>
                <w:sz w:val="16"/>
                <w:szCs w:val="16"/>
                <w:color w:val="auto"/>
              </w:rPr>
            </w:pPr>
          </w:p>
        </w:tc>
        <w:tc>
          <w:tcPr>
            <w:tcW w:w="2860" w:type="dxa"/>
            <w:vAlign w:val="bottom"/>
            <w:tcBorders>
              <w:bottom w:val="single" w:sz="8" w:color="auto"/>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336"/>
        </w:trPr>
        <w:tc>
          <w:tcPr>
            <w:tcW w:w="940" w:type="dxa"/>
            <w:vAlign w:val="bottom"/>
            <w:tcBorders>
              <w:left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color w:val="0C0C0C"/>
                <w:w w:val="99"/>
              </w:rPr>
              <w:t>系统</w:t>
            </w:r>
          </w:p>
        </w:tc>
        <w:tc>
          <w:tcPr>
            <w:tcW w:w="6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2"/>
                <w:szCs w:val="22"/>
                <w:color w:val="0C0C0C"/>
                <w:w w:val="89"/>
              </w:rPr>
              <w:t>14</w:t>
            </w:r>
          </w:p>
        </w:tc>
        <w:tc>
          <w:tcPr>
            <w:tcW w:w="3160" w:type="dxa"/>
            <w:vAlign w:val="bottom"/>
            <w:tcBorders>
              <w:right w:val="single" w:sz="8" w:color="auto"/>
            </w:tcBorders>
          </w:tcPr>
          <w:p>
            <w:pPr>
              <w:ind w:left="100"/>
              <w:spacing w:after="0" w:line="251" w:lineRule="exact"/>
              <w:rPr>
                <w:sz w:val="20"/>
                <w:szCs w:val="20"/>
                <w:color w:val="auto"/>
              </w:rPr>
            </w:pPr>
            <w:r>
              <w:rPr>
                <w:rFonts w:ascii="宋体" w:cs="宋体" w:eastAsia="宋体" w:hAnsi="宋体"/>
                <w:sz w:val="22"/>
                <w:szCs w:val="22"/>
                <w:color w:val="0C0C0C"/>
              </w:rPr>
              <w:t>城市生活垃圾资源化利用率</w:t>
            </w:r>
          </w:p>
        </w:tc>
        <w:tc>
          <w:tcPr>
            <w:tcW w:w="14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2"/>
                <w:szCs w:val="22"/>
                <w:color w:val="0C0C0C"/>
              </w:rPr>
              <w:t>51.2*</w:t>
            </w:r>
          </w:p>
        </w:tc>
        <w:tc>
          <w:tcPr>
            <w:tcW w:w="28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2"/>
                <w:szCs w:val="22"/>
                <w:color w:val="0C0C0C"/>
              </w:rPr>
              <w:t>≥60</w:t>
            </w:r>
          </w:p>
        </w:tc>
        <w:tc>
          <w:tcPr>
            <w:tcW w:w="0" w:type="dxa"/>
            <w:vAlign w:val="bottom"/>
          </w:tcPr>
          <w:p>
            <w:pPr>
              <w:spacing w:after="0"/>
              <w:rPr>
                <w:sz w:val="1"/>
                <w:szCs w:val="1"/>
                <w:color w:val="auto"/>
              </w:rPr>
            </w:pPr>
          </w:p>
        </w:tc>
      </w:tr>
      <w:tr>
        <w:trPr>
          <w:trHeight w:val="166"/>
        </w:trPr>
        <w:tc>
          <w:tcPr>
            <w:tcW w:w="940" w:type="dxa"/>
            <w:vAlign w:val="bottom"/>
            <w:tcBorders>
              <w:left w:val="single" w:sz="8" w:color="auto"/>
              <w:right w:val="single" w:sz="8" w:color="auto"/>
            </w:tcBorders>
          </w:tcPr>
          <w:p>
            <w:pPr>
              <w:spacing w:after="0"/>
              <w:rPr>
                <w:sz w:val="14"/>
                <w:szCs w:val="14"/>
                <w:color w:val="auto"/>
              </w:rPr>
            </w:pPr>
          </w:p>
        </w:tc>
        <w:tc>
          <w:tcPr>
            <w:tcW w:w="660" w:type="dxa"/>
            <w:vAlign w:val="bottom"/>
            <w:tcBorders>
              <w:right w:val="single" w:sz="8" w:color="auto"/>
            </w:tcBorders>
            <w:vMerge w:val="continue"/>
          </w:tcPr>
          <w:p>
            <w:pPr>
              <w:spacing w:after="0"/>
              <w:rPr>
                <w:sz w:val="14"/>
                <w:szCs w:val="14"/>
                <w:color w:val="auto"/>
              </w:rPr>
            </w:pPr>
          </w:p>
        </w:tc>
        <w:tc>
          <w:tcPr>
            <w:tcW w:w="3160" w:type="dxa"/>
            <w:vAlign w:val="bottom"/>
            <w:tcBorders>
              <w:right w:val="single" w:sz="8" w:color="auto"/>
            </w:tcBorders>
            <w:vMerge w:val="restart"/>
          </w:tcPr>
          <w:p>
            <w:pPr>
              <w:ind w:left="100"/>
              <w:spacing w:after="0" w:line="267" w:lineRule="exact"/>
              <w:rPr>
                <w:sz w:val="20"/>
                <w:szCs w:val="20"/>
                <w:color w:val="auto"/>
              </w:rPr>
            </w:pPr>
            <w:r>
              <w:rPr>
                <w:rFonts w:ascii="宋体" w:cs="宋体" w:eastAsia="宋体" w:hAnsi="宋体"/>
                <w:sz w:val="22"/>
                <w:szCs w:val="22"/>
                <w:color w:val="0C0C0C"/>
              </w:rPr>
              <w:t>（</w:t>
            </w:r>
            <w:r>
              <w:rPr>
                <w:rFonts w:ascii="Arial" w:cs="Arial" w:eastAsia="Arial" w:hAnsi="Arial"/>
                <w:sz w:val="22"/>
                <w:szCs w:val="22"/>
                <w:color w:val="0C0C0C"/>
              </w:rPr>
              <w:t>%</w:t>
            </w:r>
            <w:r>
              <w:rPr>
                <w:rFonts w:ascii="宋体" w:cs="宋体" w:eastAsia="宋体" w:hAnsi="宋体"/>
                <w:sz w:val="22"/>
                <w:szCs w:val="22"/>
                <w:color w:val="0C0C0C"/>
              </w:rPr>
              <w:t>）</w:t>
            </w:r>
          </w:p>
        </w:tc>
        <w:tc>
          <w:tcPr>
            <w:tcW w:w="1460" w:type="dxa"/>
            <w:vAlign w:val="bottom"/>
            <w:tcBorders>
              <w:right w:val="single" w:sz="8" w:color="auto"/>
            </w:tcBorders>
            <w:vMerge w:val="continue"/>
          </w:tcPr>
          <w:p>
            <w:pPr>
              <w:spacing w:after="0"/>
              <w:rPr>
                <w:sz w:val="14"/>
                <w:szCs w:val="14"/>
                <w:color w:val="auto"/>
              </w:rPr>
            </w:pPr>
          </w:p>
        </w:tc>
        <w:tc>
          <w:tcPr>
            <w:tcW w:w="286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80"/>
        </w:trPr>
        <w:tc>
          <w:tcPr>
            <w:tcW w:w="940" w:type="dxa"/>
            <w:vAlign w:val="bottom"/>
            <w:tcBorders>
              <w:left w:val="single" w:sz="8" w:color="auto"/>
              <w:right w:val="single" w:sz="8" w:color="auto"/>
            </w:tcBorders>
          </w:tcPr>
          <w:p>
            <w:pPr>
              <w:spacing w:after="0"/>
              <w:rPr>
                <w:sz w:val="15"/>
                <w:szCs w:val="15"/>
                <w:color w:val="auto"/>
              </w:rPr>
            </w:pPr>
          </w:p>
        </w:tc>
        <w:tc>
          <w:tcPr>
            <w:tcW w:w="660" w:type="dxa"/>
            <w:vAlign w:val="bottom"/>
            <w:tcBorders>
              <w:right w:val="single" w:sz="8" w:color="auto"/>
            </w:tcBorders>
          </w:tcPr>
          <w:p>
            <w:pPr>
              <w:spacing w:after="0"/>
              <w:rPr>
                <w:sz w:val="15"/>
                <w:szCs w:val="15"/>
                <w:color w:val="auto"/>
              </w:rPr>
            </w:pPr>
          </w:p>
        </w:tc>
        <w:tc>
          <w:tcPr>
            <w:tcW w:w="3160" w:type="dxa"/>
            <w:vAlign w:val="bottom"/>
            <w:tcBorders>
              <w:right w:val="single" w:sz="8" w:color="auto"/>
            </w:tcBorders>
            <w:vMerge w:val="continue"/>
          </w:tcPr>
          <w:p>
            <w:pPr>
              <w:spacing w:after="0"/>
              <w:rPr>
                <w:sz w:val="15"/>
                <w:szCs w:val="15"/>
                <w:color w:val="auto"/>
              </w:rPr>
            </w:pPr>
          </w:p>
        </w:tc>
        <w:tc>
          <w:tcPr>
            <w:tcW w:w="1460" w:type="dxa"/>
            <w:vAlign w:val="bottom"/>
            <w:tcBorders>
              <w:right w:val="single" w:sz="8" w:color="auto"/>
            </w:tcBorders>
          </w:tcPr>
          <w:p>
            <w:pPr>
              <w:spacing w:after="0"/>
              <w:rPr>
                <w:sz w:val="15"/>
                <w:szCs w:val="15"/>
                <w:color w:val="auto"/>
              </w:rPr>
            </w:pPr>
          </w:p>
        </w:tc>
        <w:tc>
          <w:tcPr>
            <w:tcW w:w="28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32"/>
        </w:trPr>
        <w:tc>
          <w:tcPr>
            <w:tcW w:w="940" w:type="dxa"/>
            <w:vAlign w:val="bottom"/>
            <w:tcBorders>
              <w:left w:val="single" w:sz="8" w:color="auto"/>
              <w:right w:val="single" w:sz="8" w:color="auto"/>
            </w:tcBorders>
          </w:tcPr>
          <w:p>
            <w:pPr>
              <w:spacing w:after="0"/>
              <w:rPr>
                <w:sz w:val="2"/>
                <w:szCs w:val="2"/>
                <w:color w:val="auto"/>
              </w:rPr>
            </w:pPr>
          </w:p>
        </w:tc>
        <w:tc>
          <w:tcPr>
            <w:tcW w:w="660" w:type="dxa"/>
            <w:vAlign w:val="bottom"/>
            <w:tcBorders>
              <w:bottom w:val="single" w:sz="8" w:color="auto"/>
              <w:right w:val="single" w:sz="8" w:color="auto"/>
            </w:tcBorders>
          </w:tcPr>
          <w:p>
            <w:pPr>
              <w:spacing w:after="0"/>
              <w:rPr>
                <w:sz w:val="2"/>
                <w:szCs w:val="2"/>
                <w:color w:val="auto"/>
              </w:rPr>
            </w:pPr>
          </w:p>
        </w:tc>
        <w:tc>
          <w:tcPr>
            <w:tcW w:w="3160" w:type="dxa"/>
            <w:vAlign w:val="bottom"/>
            <w:tcBorders>
              <w:bottom w:val="single" w:sz="8" w:color="auto"/>
              <w:right w:val="single" w:sz="8" w:color="auto"/>
            </w:tcBorders>
          </w:tcPr>
          <w:p>
            <w:pPr>
              <w:spacing w:after="0"/>
              <w:rPr>
                <w:sz w:val="2"/>
                <w:szCs w:val="2"/>
                <w:color w:val="auto"/>
              </w:rPr>
            </w:pPr>
          </w:p>
        </w:tc>
        <w:tc>
          <w:tcPr>
            <w:tcW w:w="1460" w:type="dxa"/>
            <w:vAlign w:val="bottom"/>
            <w:tcBorders>
              <w:bottom w:val="single" w:sz="8" w:color="auto"/>
              <w:right w:val="single" w:sz="8" w:color="auto"/>
            </w:tcBorders>
          </w:tcPr>
          <w:p>
            <w:pPr>
              <w:spacing w:after="0"/>
              <w:rPr>
                <w:sz w:val="2"/>
                <w:szCs w:val="2"/>
                <w:color w:val="auto"/>
              </w:rPr>
            </w:pPr>
          </w:p>
        </w:tc>
        <w:tc>
          <w:tcPr>
            <w:tcW w:w="28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22"/>
        </w:trPr>
        <w:tc>
          <w:tcPr>
            <w:tcW w:w="940" w:type="dxa"/>
            <w:vAlign w:val="bottom"/>
            <w:tcBorders>
              <w:left w:val="single" w:sz="8" w:color="auto"/>
              <w:right w:val="single" w:sz="8" w:color="auto"/>
            </w:tcBorders>
          </w:tcPr>
          <w:p>
            <w:pPr>
              <w:spacing w:after="0"/>
              <w:rPr>
                <w:sz w:val="24"/>
                <w:szCs w:val="24"/>
                <w:color w:val="auto"/>
              </w:rPr>
            </w:pPr>
          </w:p>
        </w:tc>
        <w:tc>
          <w:tcPr>
            <w:tcW w:w="66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w w:val="89"/>
              </w:rPr>
              <w:t>15</w:t>
            </w:r>
          </w:p>
        </w:tc>
        <w:tc>
          <w:tcPr>
            <w:tcW w:w="3160" w:type="dxa"/>
            <w:vAlign w:val="bottom"/>
            <w:tcBorders>
              <w:right w:val="single" w:sz="8" w:color="auto"/>
            </w:tcBorders>
          </w:tcPr>
          <w:p>
            <w:pPr>
              <w:ind w:left="100"/>
              <w:spacing w:after="0" w:line="267" w:lineRule="exact"/>
              <w:rPr>
                <w:sz w:val="20"/>
                <w:szCs w:val="20"/>
                <w:color w:val="auto"/>
              </w:rPr>
            </w:pPr>
            <w:r>
              <w:rPr>
                <w:rFonts w:ascii="宋体" w:cs="宋体" w:eastAsia="宋体" w:hAnsi="宋体"/>
                <w:sz w:val="22"/>
                <w:szCs w:val="22"/>
                <w:color w:val="0C0C0C"/>
                <w:w w:val="98"/>
              </w:rPr>
              <w:t>城市建筑垃圾综合利用率（</w:t>
            </w:r>
            <w:r>
              <w:rPr>
                <w:rFonts w:ascii="Arial" w:cs="Arial" w:eastAsia="Arial" w:hAnsi="Arial"/>
                <w:sz w:val="22"/>
                <w:szCs w:val="22"/>
                <w:color w:val="0C0C0C"/>
                <w:w w:val="98"/>
              </w:rPr>
              <w:t>%</w:t>
            </w:r>
            <w:r>
              <w:rPr>
                <w:rFonts w:ascii="宋体" w:cs="宋体" w:eastAsia="宋体" w:hAnsi="宋体"/>
                <w:sz w:val="22"/>
                <w:szCs w:val="22"/>
                <w:color w:val="0C0C0C"/>
                <w:w w:val="98"/>
              </w:rPr>
              <w:t>）</w:t>
            </w:r>
          </w:p>
        </w:tc>
        <w:tc>
          <w:tcPr>
            <w:tcW w:w="146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rPr>
              <w:t>--</w:t>
            </w:r>
          </w:p>
        </w:tc>
        <w:tc>
          <w:tcPr>
            <w:tcW w:w="286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rPr>
              <w:t>≥50</w:t>
            </w:r>
          </w:p>
        </w:tc>
        <w:tc>
          <w:tcPr>
            <w:tcW w:w="0" w:type="dxa"/>
            <w:vAlign w:val="bottom"/>
          </w:tcPr>
          <w:p>
            <w:pPr>
              <w:spacing w:after="0"/>
              <w:rPr>
                <w:sz w:val="1"/>
                <w:szCs w:val="1"/>
                <w:color w:val="auto"/>
              </w:rPr>
            </w:pPr>
          </w:p>
        </w:tc>
      </w:tr>
      <w:tr>
        <w:trPr>
          <w:trHeight w:val="37"/>
        </w:trPr>
        <w:tc>
          <w:tcPr>
            <w:tcW w:w="940" w:type="dxa"/>
            <w:vAlign w:val="bottom"/>
            <w:tcBorders>
              <w:left w:val="single" w:sz="8" w:color="auto"/>
              <w:bottom w:val="single" w:sz="8" w:color="auto"/>
              <w:right w:val="single" w:sz="8" w:color="auto"/>
            </w:tcBorders>
          </w:tcPr>
          <w:p>
            <w:pPr>
              <w:spacing w:after="0"/>
              <w:rPr>
                <w:sz w:val="3"/>
                <w:szCs w:val="3"/>
                <w:color w:val="auto"/>
              </w:rPr>
            </w:pPr>
          </w:p>
        </w:tc>
        <w:tc>
          <w:tcPr>
            <w:tcW w:w="660" w:type="dxa"/>
            <w:vAlign w:val="bottom"/>
            <w:tcBorders>
              <w:bottom w:val="single" w:sz="8" w:color="auto"/>
              <w:right w:val="single" w:sz="8" w:color="auto"/>
            </w:tcBorders>
          </w:tcPr>
          <w:p>
            <w:pPr>
              <w:spacing w:after="0"/>
              <w:rPr>
                <w:sz w:val="3"/>
                <w:szCs w:val="3"/>
                <w:color w:val="auto"/>
              </w:rPr>
            </w:pPr>
          </w:p>
        </w:tc>
        <w:tc>
          <w:tcPr>
            <w:tcW w:w="3160" w:type="dxa"/>
            <w:vAlign w:val="bottom"/>
            <w:tcBorders>
              <w:bottom w:val="single" w:sz="8" w:color="auto"/>
              <w:right w:val="single" w:sz="8" w:color="auto"/>
            </w:tcBorders>
          </w:tcPr>
          <w:p>
            <w:pPr>
              <w:spacing w:after="0"/>
              <w:rPr>
                <w:sz w:val="3"/>
                <w:szCs w:val="3"/>
                <w:color w:val="auto"/>
              </w:rPr>
            </w:pPr>
          </w:p>
        </w:tc>
        <w:tc>
          <w:tcPr>
            <w:tcW w:w="1460" w:type="dxa"/>
            <w:vAlign w:val="bottom"/>
            <w:tcBorders>
              <w:bottom w:val="single" w:sz="8" w:color="auto"/>
              <w:right w:val="single" w:sz="8" w:color="auto"/>
            </w:tcBorders>
          </w:tcPr>
          <w:p>
            <w:pPr>
              <w:spacing w:after="0"/>
              <w:rPr>
                <w:sz w:val="3"/>
                <w:szCs w:val="3"/>
                <w:color w:val="auto"/>
              </w:rPr>
            </w:pPr>
          </w:p>
        </w:tc>
        <w:tc>
          <w:tcPr>
            <w:tcW w:w="28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20"/>
        </w:trPr>
        <w:tc>
          <w:tcPr>
            <w:tcW w:w="940" w:type="dxa"/>
            <w:vAlign w:val="bottom"/>
            <w:tcBorders>
              <w:left w:val="single" w:sz="8" w:color="auto"/>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0C0C0C"/>
                <w:w w:val="99"/>
              </w:rPr>
              <w:t>园林</w:t>
            </w:r>
          </w:p>
        </w:tc>
        <w:tc>
          <w:tcPr>
            <w:tcW w:w="66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w w:val="89"/>
              </w:rPr>
              <w:t>16</w:t>
            </w:r>
          </w:p>
        </w:tc>
        <w:tc>
          <w:tcPr>
            <w:tcW w:w="3160" w:type="dxa"/>
            <w:vAlign w:val="bottom"/>
            <w:tcBorders>
              <w:right w:val="single" w:sz="8" w:color="auto"/>
            </w:tcBorders>
          </w:tcPr>
          <w:p>
            <w:pPr>
              <w:ind w:left="100"/>
              <w:spacing w:after="0" w:line="267" w:lineRule="exact"/>
              <w:rPr>
                <w:sz w:val="20"/>
                <w:szCs w:val="20"/>
                <w:color w:val="auto"/>
              </w:rPr>
            </w:pPr>
            <w:r>
              <w:rPr>
                <w:rFonts w:ascii="宋体" w:cs="宋体" w:eastAsia="宋体" w:hAnsi="宋体"/>
                <w:sz w:val="22"/>
                <w:szCs w:val="22"/>
                <w:color w:val="0C0C0C"/>
              </w:rPr>
              <w:t>城市绿地率（</w:t>
            </w:r>
            <w:r>
              <w:rPr>
                <w:rFonts w:ascii="Arial" w:cs="Arial" w:eastAsia="Arial" w:hAnsi="Arial"/>
                <w:sz w:val="22"/>
                <w:szCs w:val="22"/>
                <w:color w:val="0C0C0C"/>
              </w:rPr>
              <w:t>%</w:t>
            </w:r>
            <w:r>
              <w:rPr>
                <w:rFonts w:ascii="宋体" w:cs="宋体" w:eastAsia="宋体" w:hAnsi="宋体"/>
                <w:sz w:val="22"/>
                <w:szCs w:val="22"/>
                <w:color w:val="0C0C0C"/>
              </w:rPr>
              <w:t>）</w:t>
            </w:r>
          </w:p>
        </w:tc>
        <w:tc>
          <w:tcPr>
            <w:tcW w:w="146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w w:val="97"/>
              </w:rPr>
              <w:t>38.24</w:t>
            </w:r>
          </w:p>
        </w:tc>
        <w:tc>
          <w:tcPr>
            <w:tcW w:w="286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0C0C0C"/>
              </w:rPr>
              <w:t>≥40</w:t>
            </w:r>
          </w:p>
        </w:tc>
        <w:tc>
          <w:tcPr>
            <w:tcW w:w="0" w:type="dxa"/>
            <w:vAlign w:val="bottom"/>
          </w:tcPr>
          <w:p>
            <w:pPr>
              <w:spacing w:after="0"/>
              <w:rPr>
                <w:sz w:val="1"/>
                <w:szCs w:val="1"/>
                <w:color w:val="auto"/>
              </w:rPr>
            </w:pPr>
          </w:p>
        </w:tc>
      </w:tr>
      <w:tr>
        <w:trPr>
          <w:trHeight w:val="39"/>
        </w:trPr>
        <w:tc>
          <w:tcPr>
            <w:tcW w:w="940" w:type="dxa"/>
            <w:vAlign w:val="bottom"/>
            <w:tcBorders>
              <w:left w:val="single" w:sz="8" w:color="auto"/>
              <w:right w:val="single" w:sz="8" w:color="auto"/>
            </w:tcBorders>
            <w:vMerge w:val="continue"/>
          </w:tcPr>
          <w:p>
            <w:pPr>
              <w:spacing w:after="0"/>
              <w:rPr>
                <w:sz w:val="3"/>
                <w:szCs w:val="3"/>
                <w:color w:val="auto"/>
              </w:rPr>
            </w:pPr>
          </w:p>
        </w:tc>
        <w:tc>
          <w:tcPr>
            <w:tcW w:w="660" w:type="dxa"/>
            <w:vAlign w:val="bottom"/>
            <w:tcBorders>
              <w:bottom w:val="single" w:sz="8" w:color="auto"/>
              <w:right w:val="single" w:sz="8" w:color="auto"/>
            </w:tcBorders>
          </w:tcPr>
          <w:p>
            <w:pPr>
              <w:spacing w:after="0"/>
              <w:rPr>
                <w:sz w:val="3"/>
                <w:szCs w:val="3"/>
                <w:color w:val="auto"/>
              </w:rPr>
            </w:pPr>
          </w:p>
        </w:tc>
        <w:tc>
          <w:tcPr>
            <w:tcW w:w="3160" w:type="dxa"/>
            <w:vAlign w:val="bottom"/>
            <w:tcBorders>
              <w:bottom w:val="single" w:sz="8" w:color="auto"/>
              <w:right w:val="single" w:sz="8" w:color="auto"/>
            </w:tcBorders>
          </w:tcPr>
          <w:p>
            <w:pPr>
              <w:spacing w:after="0"/>
              <w:rPr>
                <w:sz w:val="3"/>
                <w:szCs w:val="3"/>
                <w:color w:val="auto"/>
              </w:rPr>
            </w:pPr>
          </w:p>
        </w:tc>
        <w:tc>
          <w:tcPr>
            <w:tcW w:w="1460" w:type="dxa"/>
            <w:vAlign w:val="bottom"/>
            <w:tcBorders>
              <w:bottom w:val="single" w:sz="8" w:color="auto"/>
              <w:right w:val="single" w:sz="8" w:color="auto"/>
            </w:tcBorders>
          </w:tcPr>
          <w:p>
            <w:pPr>
              <w:spacing w:after="0"/>
              <w:rPr>
                <w:sz w:val="3"/>
                <w:szCs w:val="3"/>
                <w:color w:val="auto"/>
              </w:rPr>
            </w:pPr>
          </w:p>
        </w:tc>
        <w:tc>
          <w:tcPr>
            <w:tcW w:w="28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16"/>
        </w:trPr>
        <w:tc>
          <w:tcPr>
            <w:tcW w:w="940" w:type="dxa"/>
            <w:vAlign w:val="bottom"/>
            <w:tcBorders>
              <w:left w:val="single" w:sz="8" w:color="auto"/>
              <w:right w:val="single" w:sz="8" w:color="auto"/>
            </w:tcBorders>
            <w:vMerge w:val="continue"/>
          </w:tcPr>
          <w:p>
            <w:pPr>
              <w:spacing w:after="0"/>
              <w:rPr>
                <w:sz w:val="10"/>
                <w:szCs w:val="10"/>
                <w:color w:val="auto"/>
              </w:rPr>
            </w:pPr>
          </w:p>
        </w:tc>
        <w:tc>
          <w:tcPr>
            <w:tcW w:w="6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2"/>
                <w:szCs w:val="22"/>
                <w:color w:val="0C0C0C"/>
                <w:w w:val="89"/>
              </w:rPr>
              <w:t>17</w:t>
            </w:r>
          </w:p>
        </w:tc>
        <w:tc>
          <w:tcPr>
            <w:tcW w:w="3160" w:type="dxa"/>
            <w:vAlign w:val="bottom"/>
            <w:tcBorders>
              <w:right w:val="single" w:sz="8" w:color="auto"/>
            </w:tcBorders>
            <w:vMerge w:val="restart"/>
          </w:tcPr>
          <w:p>
            <w:pPr>
              <w:ind w:left="100"/>
              <w:spacing w:after="0" w:line="251" w:lineRule="exact"/>
              <w:rPr>
                <w:sz w:val="20"/>
                <w:szCs w:val="20"/>
                <w:color w:val="auto"/>
              </w:rPr>
            </w:pPr>
            <w:r>
              <w:rPr>
                <w:rFonts w:ascii="宋体" w:cs="宋体" w:eastAsia="宋体" w:hAnsi="宋体"/>
                <w:sz w:val="22"/>
                <w:szCs w:val="22"/>
                <w:color w:val="0C0C0C"/>
                <w:w w:val="98"/>
              </w:rPr>
              <w:t>城市万人拥有绿道长度（公里）</w:t>
            </w:r>
          </w:p>
        </w:tc>
        <w:tc>
          <w:tcPr>
            <w:tcW w:w="14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2"/>
                <w:szCs w:val="22"/>
                <w:color w:val="0C0C0C"/>
              </w:rPr>
              <w:t>--</w:t>
            </w:r>
          </w:p>
        </w:tc>
        <w:tc>
          <w:tcPr>
            <w:tcW w:w="28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2"/>
                <w:szCs w:val="22"/>
                <w:color w:val="0C0C0C"/>
              </w:rPr>
              <w:t>≥1.0</w:t>
            </w:r>
          </w:p>
        </w:tc>
        <w:tc>
          <w:tcPr>
            <w:tcW w:w="0" w:type="dxa"/>
            <w:vAlign w:val="bottom"/>
          </w:tcPr>
          <w:p>
            <w:pPr>
              <w:spacing w:after="0"/>
              <w:rPr>
                <w:sz w:val="1"/>
                <w:szCs w:val="1"/>
                <w:color w:val="auto"/>
              </w:rPr>
            </w:pPr>
          </w:p>
        </w:tc>
      </w:tr>
      <w:tr>
        <w:trPr>
          <w:trHeight w:val="204"/>
        </w:trPr>
        <w:tc>
          <w:tcPr>
            <w:tcW w:w="940" w:type="dxa"/>
            <w:vAlign w:val="bottom"/>
            <w:tcBorders>
              <w:left w:val="single" w:sz="8" w:color="auto"/>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0C0C0C"/>
                <w:w w:val="99"/>
              </w:rPr>
              <w:t>绿化</w:t>
            </w:r>
          </w:p>
        </w:tc>
        <w:tc>
          <w:tcPr>
            <w:tcW w:w="660" w:type="dxa"/>
            <w:vAlign w:val="bottom"/>
            <w:tcBorders>
              <w:right w:val="single" w:sz="8" w:color="auto"/>
            </w:tcBorders>
            <w:vMerge w:val="continue"/>
          </w:tcPr>
          <w:p>
            <w:pPr>
              <w:spacing w:after="0"/>
              <w:rPr>
                <w:sz w:val="17"/>
                <w:szCs w:val="17"/>
                <w:color w:val="auto"/>
              </w:rPr>
            </w:pPr>
          </w:p>
        </w:tc>
        <w:tc>
          <w:tcPr>
            <w:tcW w:w="3160" w:type="dxa"/>
            <w:vAlign w:val="bottom"/>
            <w:tcBorders>
              <w:right w:val="single" w:sz="8" w:color="auto"/>
            </w:tcBorders>
            <w:vMerge w:val="continue"/>
          </w:tcPr>
          <w:p>
            <w:pPr>
              <w:spacing w:after="0"/>
              <w:rPr>
                <w:sz w:val="17"/>
                <w:szCs w:val="17"/>
                <w:color w:val="auto"/>
              </w:rPr>
            </w:pPr>
          </w:p>
        </w:tc>
        <w:tc>
          <w:tcPr>
            <w:tcW w:w="1460" w:type="dxa"/>
            <w:vAlign w:val="bottom"/>
            <w:tcBorders>
              <w:right w:val="single" w:sz="8" w:color="auto"/>
            </w:tcBorders>
            <w:vMerge w:val="continue"/>
          </w:tcPr>
          <w:p>
            <w:pPr>
              <w:spacing w:after="0"/>
              <w:rPr>
                <w:sz w:val="17"/>
                <w:szCs w:val="17"/>
                <w:color w:val="auto"/>
              </w:rPr>
            </w:pPr>
          </w:p>
        </w:tc>
        <w:tc>
          <w:tcPr>
            <w:tcW w:w="286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39"/>
        </w:trPr>
        <w:tc>
          <w:tcPr>
            <w:tcW w:w="940" w:type="dxa"/>
            <w:vAlign w:val="bottom"/>
            <w:tcBorders>
              <w:left w:val="single" w:sz="8" w:color="auto"/>
              <w:right w:val="single" w:sz="8" w:color="auto"/>
            </w:tcBorders>
            <w:vMerge w:val="continue"/>
          </w:tcPr>
          <w:p>
            <w:pPr>
              <w:spacing w:after="0"/>
              <w:rPr>
                <w:sz w:val="3"/>
                <w:szCs w:val="3"/>
                <w:color w:val="auto"/>
              </w:rPr>
            </w:pPr>
          </w:p>
        </w:tc>
        <w:tc>
          <w:tcPr>
            <w:tcW w:w="660" w:type="dxa"/>
            <w:vAlign w:val="bottom"/>
            <w:tcBorders>
              <w:bottom w:val="single" w:sz="8" w:color="auto"/>
              <w:right w:val="single" w:sz="8" w:color="auto"/>
            </w:tcBorders>
          </w:tcPr>
          <w:p>
            <w:pPr>
              <w:spacing w:after="0"/>
              <w:rPr>
                <w:sz w:val="3"/>
                <w:szCs w:val="3"/>
                <w:color w:val="auto"/>
              </w:rPr>
            </w:pPr>
          </w:p>
        </w:tc>
        <w:tc>
          <w:tcPr>
            <w:tcW w:w="3160" w:type="dxa"/>
            <w:vAlign w:val="bottom"/>
            <w:tcBorders>
              <w:bottom w:val="single" w:sz="8" w:color="auto"/>
              <w:right w:val="single" w:sz="8" w:color="auto"/>
            </w:tcBorders>
          </w:tcPr>
          <w:p>
            <w:pPr>
              <w:spacing w:after="0"/>
              <w:rPr>
                <w:sz w:val="3"/>
                <w:szCs w:val="3"/>
                <w:color w:val="auto"/>
              </w:rPr>
            </w:pPr>
          </w:p>
        </w:tc>
        <w:tc>
          <w:tcPr>
            <w:tcW w:w="1460" w:type="dxa"/>
            <w:vAlign w:val="bottom"/>
            <w:tcBorders>
              <w:bottom w:val="single" w:sz="8" w:color="auto"/>
              <w:right w:val="single" w:sz="8" w:color="auto"/>
            </w:tcBorders>
          </w:tcPr>
          <w:p>
            <w:pPr>
              <w:spacing w:after="0"/>
              <w:rPr>
                <w:sz w:val="3"/>
                <w:szCs w:val="3"/>
                <w:color w:val="auto"/>
              </w:rPr>
            </w:pPr>
          </w:p>
        </w:tc>
        <w:tc>
          <w:tcPr>
            <w:tcW w:w="28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97"/>
        </w:trPr>
        <w:tc>
          <w:tcPr>
            <w:tcW w:w="940" w:type="dxa"/>
            <w:vAlign w:val="bottom"/>
            <w:tcBorders>
              <w:left w:val="single" w:sz="8" w:color="auto"/>
              <w:right w:val="single" w:sz="8" w:color="auto"/>
            </w:tcBorders>
            <w:vMerge w:val="continue"/>
          </w:tcPr>
          <w:p>
            <w:pPr>
              <w:spacing w:after="0"/>
              <w:rPr>
                <w:sz w:val="8"/>
                <w:szCs w:val="8"/>
                <w:color w:val="auto"/>
              </w:rPr>
            </w:pPr>
          </w:p>
        </w:tc>
        <w:tc>
          <w:tcPr>
            <w:tcW w:w="660" w:type="dxa"/>
            <w:vAlign w:val="bottom"/>
            <w:tcBorders>
              <w:right w:val="single" w:sz="8" w:color="auto"/>
            </w:tcBorders>
          </w:tcPr>
          <w:p>
            <w:pPr>
              <w:spacing w:after="0"/>
              <w:rPr>
                <w:sz w:val="8"/>
                <w:szCs w:val="8"/>
                <w:color w:val="auto"/>
              </w:rPr>
            </w:pPr>
          </w:p>
        </w:tc>
        <w:tc>
          <w:tcPr>
            <w:tcW w:w="3160" w:type="dxa"/>
            <w:vAlign w:val="bottom"/>
            <w:tcBorders>
              <w:right w:val="single" w:sz="8" w:color="auto"/>
            </w:tcBorders>
            <w:vMerge w:val="restart"/>
          </w:tcPr>
          <w:p>
            <w:pPr>
              <w:ind w:left="100"/>
              <w:spacing w:after="0" w:line="251" w:lineRule="exact"/>
              <w:rPr>
                <w:sz w:val="20"/>
                <w:szCs w:val="20"/>
                <w:color w:val="auto"/>
              </w:rPr>
            </w:pPr>
            <w:r>
              <w:rPr>
                <w:rFonts w:ascii="宋体" w:cs="宋体" w:eastAsia="宋体" w:hAnsi="宋体"/>
                <w:sz w:val="22"/>
                <w:szCs w:val="22"/>
                <w:color w:val="0C0C0C"/>
              </w:rPr>
              <w:t>城市公园绿化活动场地服务半</w:t>
            </w:r>
          </w:p>
        </w:tc>
        <w:tc>
          <w:tcPr>
            <w:tcW w:w="1460" w:type="dxa"/>
            <w:vAlign w:val="bottom"/>
            <w:tcBorders>
              <w:right w:val="single" w:sz="8" w:color="auto"/>
            </w:tcBorders>
          </w:tcPr>
          <w:p>
            <w:pPr>
              <w:spacing w:after="0"/>
              <w:rPr>
                <w:sz w:val="8"/>
                <w:szCs w:val="8"/>
                <w:color w:val="auto"/>
              </w:rPr>
            </w:pPr>
          </w:p>
        </w:tc>
        <w:tc>
          <w:tcPr>
            <w:tcW w:w="28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9"/>
        </w:trPr>
        <w:tc>
          <w:tcPr>
            <w:tcW w:w="940" w:type="dxa"/>
            <w:vAlign w:val="bottom"/>
            <w:tcBorders>
              <w:left w:val="single" w:sz="8" w:color="auto"/>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0C0C0C"/>
                <w:w w:val="99"/>
              </w:rPr>
              <w:t>系统</w:t>
            </w:r>
          </w:p>
        </w:tc>
        <w:tc>
          <w:tcPr>
            <w:tcW w:w="6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2"/>
                <w:szCs w:val="22"/>
                <w:color w:val="0C0C0C"/>
                <w:w w:val="89"/>
              </w:rPr>
              <w:t>18</w:t>
            </w:r>
          </w:p>
        </w:tc>
        <w:tc>
          <w:tcPr>
            <w:tcW w:w="3160" w:type="dxa"/>
            <w:vAlign w:val="bottom"/>
            <w:tcBorders>
              <w:right w:val="single" w:sz="8" w:color="auto"/>
            </w:tcBorders>
            <w:vMerge w:val="continue"/>
          </w:tcPr>
          <w:p>
            <w:pPr>
              <w:spacing w:after="0"/>
              <w:rPr>
                <w:sz w:val="17"/>
                <w:szCs w:val="17"/>
                <w:color w:val="auto"/>
              </w:rPr>
            </w:pPr>
          </w:p>
        </w:tc>
        <w:tc>
          <w:tcPr>
            <w:tcW w:w="14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2"/>
                <w:szCs w:val="22"/>
                <w:color w:val="0C0C0C"/>
              </w:rPr>
              <w:t>--</w:t>
            </w:r>
          </w:p>
        </w:tc>
        <w:tc>
          <w:tcPr>
            <w:tcW w:w="28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2"/>
                <w:szCs w:val="22"/>
                <w:color w:val="0C0C0C"/>
              </w:rPr>
              <w:t>≥85</w:t>
            </w:r>
          </w:p>
        </w:tc>
        <w:tc>
          <w:tcPr>
            <w:tcW w:w="0" w:type="dxa"/>
            <w:vAlign w:val="bottom"/>
          </w:tcPr>
          <w:p>
            <w:pPr>
              <w:spacing w:after="0"/>
              <w:rPr>
                <w:sz w:val="1"/>
                <w:szCs w:val="1"/>
                <w:color w:val="auto"/>
              </w:rPr>
            </w:pPr>
          </w:p>
        </w:tc>
      </w:tr>
      <w:tr>
        <w:trPr>
          <w:trHeight w:val="180"/>
        </w:trPr>
        <w:tc>
          <w:tcPr>
            <w:tcW w:w="940" w:type="dxa"/>
            <w:vAlign w:val="bottom"/>
            <w:tcBorders>
              <w:left w:val="single" w:sz="8" w:color="auto"/>
              <w:right w:val="single" w:sz="8" w:color="auto"/>
            </w:tcBorders>
            <w:vMerge w:val="continue"/>
          </w:tcPr>
          <w:p>
            <w:pPr>
              <w:spacing w:after="0"/>
              <w:rPr>
                <w:sz w:val="15"/>
                <w:szCs w:val="15"/>
                <w:color w:val="auto"/>
              </w:rPr>
            </w:pPr>
          </w:p>
        </w:tc>
        <w:tc>
          <w:tcPr>
            <w:tcW w:w="660" w:type="dxa"/>
            <w:vAlign w:val="bottom"/>
            <w:tcBorders>
              <w:right w:val="single" w:sz="8" w:color="auto"/>
            </w:tcBorders>
            <w:vMerge w:val="continue"/>
          </w:tcPr>
          <w:p>
            <w:pPr>
              <w:spacing w:after="0"/>
              <w:rPr>
                <w:sz w:val="15"/>
                <w:szCs w:val="15"/>
                <w:color w:val="auto"/>
              </w:rPr>
            </w:pPr>
          </w:p>
        </w:tc>
        <w:tc>
          <w:tcPr>
            <w:tcW w:w="3160" w:type="dxa"/>
            <w:vAlign w:val="bottom"/>
            <w:tcBorders>
              <w:right w:val="single" w:sz="8" w:color="auto"/>
            </w:tcBorders>
            <w:vMerge w:val="restart"/>
          </w:tcPr>
          <w:p>
            <w:pPr>
              <w:ind w:left="100"/>
              <w:spacing w:after="0" w:line="267" w:lineRule="exact"/>
              <w:rPr>
                <w:sz w:val="20"/>
                <w:szCs w:val="20"/>
                <w:color w:val="auto"/>
              </w:rPr>
            </w:pPr>
            <w:r>
              <w:rPr>
                <w:rFonts w:ascii="宋体" w:cs="宋体" w:eastAsia="宋体" w:hAnsi="宋体"/>
                <w:sz w:val="22"/>
                <w:szCs w:val="22"/>
                <w:color w:val="0C0C0C"/>
              </w:rPr>
              <w:t>径覆盖率（</w:t>
            </w:r>
            <w:r>
              <w:rPr>
                <w:rFonts w:ascii="Arial" w:cs="Arial" w:eastAsia="Arial" w:hAnsi="Arial"/>
                <w:sz w:val="22"/>
                <w:szCs w:val="22"/>
                <w:color w:val="0C0C0C"/>
              </w:rPr>
              <w:t>%</w:t>
            </w:r>
            <w:r>
              <w:rPr>
                <w:rFonts w:ascii="宋体" w:cs="宋体" w:eastAsia="宋体" w:hAnsi="宋体"/>
                <w:sz w:val="22"/>
                <w:szCs w:val="22"/>
                <w:color w:val="0C0C0C"/>
              </w:rPr>
              <w:t>）</w:t>
            </w:r>
          </w:p>
        </w:tc>
        <w:tc>
          <w:tcPr>
            <w:tcW w:w="1460" w:type="dxa"/>
            <w:vAlign w:val="bottom"/>
            <w:tcBorders>
              <w:right w:val="single" w:sz="8" w:color="auto"/>
            </w:tcBorders>
            <w:vMerge w:val="continue"/>
          </w:tcPr>
          <w:p>
            <w:pPr>
              <w:spacing w:after="0"/>
              <w:rPr>
                <w:sz w:val="15"/>
                <w:szCs w:val="15"/>
                <w:color w:val="auto"/>
              </w:rPr>
            </w:pPr>
          </w:p>
        </w:tc>
        <w:tc>
          <w:tcPr>
            <w:tcW w:w="286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61"/>
        </w:trPr>
        <w:tc>
          <w:tcPr>
            <w:tcW w:w="940" w:type="dxa"/>
            <w:vAlign w:val="bottom"/>
            <w:tcBorders>
              <w:left w:val="single" w:sz="8" w:color="auto"/>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3160" w:type="dxa"/>
            <w:vAlign w:val="bottom"/>
            <w:tcBorders>
              <w:right w:val="single" w:sz="8" w:color="auto"/>
            </w:tcBorders>
            <w:vMerge w:val="continue"/>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28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3"/>
        </w:trPr>
        <w:tc>
          <w:tcPr>
            <w:tcW w:w="940" w:type="dxa"/>
            <w:vAlign w:val="bottom"/>
            <w:tcBorders>
              <w:left w:val="single" w:sz="8" w:color="auto"/>
              <w:bottom w:val="single" w:sz="8" w:color="auto"/>
              <w:right w:val="single" w:sz="8" w:color="auto"/>
            </w:tcBorders>
          </w:tcPr>
          <w:p>
            <w:pPr>
              <w:spacing w:after="0"/>
              <w:rPr>
                <w:sz w:val="2"/>
                <w:szCs w:val="2"/>
                <w:color w:val="auto"/>
              </w:rPr>
            </w:pPr>
          </w:p>
        </w:tc>
        <w:tc>
          <w:tcPr>
            <w:tcW w:w="660" w:type="dxa"/>
            <w:vAlign w:val="bottom"/>
            <w:tcBorders>
              <w:bottom w:val="single" w:sz="8" w:color="auto"/>
              <w:right w:val="single" w:sz="8" w:color="auto"/>
            </w:tcBorders>
          </w:tcPr>
          <w:p>
            <w:pPr>
              <w:spacing w:after="0"/>
              <w:rPr>
                <w:sz w:val="2"/>
                <w:szCs w:val="2"/>
                <w:color w:val="auto"/>
              </w:rPr>
            </w:pPr>
          </w:p>
        </w:tc>
        <w:tc>
          <w:tcPr>
            <w:tcW w:w="3160" w:type="dxa"/>
            <w:vAlign w:val="bottom"/>
            <w:tcBorders>
              <w:bottom w:val="single" w:sz="8" w:color="auto"/>
              <w:right w:val="single" w:sz="8" w:color="auto"/>
            </w:tcBorders>
          </w:tcPr>
          <w:p>
            <w:pPr>
              <w:spacing w:after="0"/>
              <w:rPr>
                <w:sz w:val="2"/>
                <w:szCs w:val="2"/>
                <w:color w:val="auto"/>
              </w:rPr>
            </w:pPr>
          </w:p>
        </w:tc>
        <w:tc>
          <w:tcPr>
            <w:tcW w:w="1460" w:type="dxa"/>
            <w:vAlign w:val="bottom"/>
            <w:tcBorders>
              <w:bottom w:val="single" w:sz="8" w:color="auto"/>
              <w:right w:val="single" w:sz="8" w:color="auto"/>
            </w:tcBorders>
          </w:tcPr>
          <w:p>
            <w:pPr>
              <w:spacing w:after="0"/>
              <w:rPr>
                <w:sz w:val="2"/>
                <w:szCs w:val="2"/>
                <w:color w:val="auto"/>
              </w:rPr>
            </w:pPr>
          </w:p>
        </w:tc>
        <w:tc>
          <w:tcPr>
            <w:tcW w:w="28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17"/>
        </w:trPr>
        <w:tc>
          <w:tcPr>
            <w:tcW w:w="940" w:type="dxa"/>
            <w:vAlign w:val="bottom"/>
            <w:tcBorders>
              <w:left w:val="single" w:sz="8" w:color="auto"/>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0C0C0C"/>
                <w:w w:val="99"/>
              </w:rPr>
              <w:t>信息</w:t>
            </w:r>
          </w:p>
        </w:tc>
        <w:tc>
          <w:tcPr>
            <w:tcW w:w="660" w:type="dxa"/>
            <w:vAlign w:val="bottom"/>
            <w:tcBorders>
              <w:right w:val="single" w:sz="8" w:color="auto"/>
            </w:tcBorders>
          </w:tcPr>
          <w:p>
            <w:pPr>
              <w:spacing w:after="0"/>
              <w:rPr>
                <w:sz w:val="24"/>
                <w:szCs w:val="24"/>
                <w:color w:val="auto"/>
              </w:rPr>
            </w:pPr>
          </w:p>
        </w:tc>
        <w:tc>
          <w:tcPr>
            <w:tcW w:w="3160" w:type="dxa"/>
            <w:vAlign w:val="bottom"/>
            <w:tcBorders>
              <w:right w:val="single" w:sz="8" w:color="auto"/>
            </w:tcBorders>
            <w:vMerge w:val="restart"/>
          </w:tcPr>
          <w:p>
            <w:pPr>
              <w:ind w:left="100"/>
              <w:spacing w:after="0" w:line="251" w:lineRule="exact"/>
              <w:rPr>
                <w:sz w:val="20"/>
                <w:szCs w:val="20"/>
                <w:color w:val="auto"/>
              </w:rPr>
            </w:pPr>
            <w:r>
              <w:rPr>
                <w:rFonts w:ascii="宋体" w:cs="宋体" w:eastAsia="宋体" w:hAnsi="宋体"/>
                <w:sz w:val="22"/>
                <w:szCs w:val="22"/>
                <w:color w:val="0C0C0C"/>
              </w:rPr>
              <w:t>市政管网管线智能化监测管理</w:t>
            </w:r>
          </w:p>
        </w:tc>
        <w:tc>
          <w:tcPr>
            <w:tcW w:w="1460" w:type="dxa"/>
            <w:vAlign w:val="bottom"/>
            <w:tcBorders>
              <w:right w:val="single" w:sz="8" w:color="auto"/>
            </w:tcBorders>
          </w:tcPr>
          <w:p>
            <w:pPr>
              <w:spacing w:after="0"/>
              <w:rPr>
                <w:sz w:val="24"/>
                <w:szCs w:val="24"/>
                <w:color w:val="auto"/>
              </w:rPr>
            </w:pPr>
          </w:p>
        </w:tc>
        <w:tc>
          <w:tcPr>
            <w:tcW w:w="28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0C0C0C"/>
              </w:rPr>
              <w:t>直辖市、省会城市和计划单</w:t>
            </w:r>
          </w:p>
        </w:tc>
        <w:tc>
          <w:tcPr>
            <w:tcW w:w="0" w:type="dxa"/>
            <w:vAlign w:val="bottom"/>
          </w:tcPr>
          <w:p>
            <w:pPr>
              <w:spacing w:after="0"/>
              <w:rPr>
                <w:sz w:val="1"/>
                <w:szCs w:val="1"/>
                <w:color w:val="auto"/>
              </w:rPr>
            </w:pPr>
          </w:p>
        </w:tc>
      </w:tr>
      <w:tr>
        <w:trPr>
          <w:trHeight w:val="204"/>
        </w:trPr>
        <w:tc>
          <w:tcPr>
            <w:tcW w:w="940" w:type="dxa"/>
            <w:vAlign w:val="bottom"/>
            <w:tcBorders>
              <w:left w:val="single" w:sz="8" w:color="auto"/>
              <w:right w:val="single" w:sz="8" w:color="auto"/>
            </w:tcBorders>
            <w:vMerge w:val="continue"/>
          </w:tcPr>
          <w:p>
            <w:pPr>
              <w:spacing w:after="0"/>
              <w:rPr>
                <w:sz w:val="17"/>
                <w:szCs w:val="17"/>
                <w:color w:val="auto"/>
              </w:rPr>
            </w:pPr>
          </w:p>
        </w:tc>
        <w:tc>
          <w:tcPr>
            <w:tcW w:w="6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2"/>
                <w:szCs w:val="22"/>
                <w:color w:val="0C0C0C"/>
                <w:w w:val="89"/>
              </w:rPr>
              <w:t>19</w:t>
            </w:r>
          </w:p>
        </w:tc>
        <w:tc>
          <w:tcPr>
            <w:tcW w:w="3160" w:type="dxa"/>
            <w:vAlign w:val="bottom"/>
            <w:tcBorders>
              <w:right w:val="single" w:sz="8" w:color="auto"/>
            </w:tcBorders>
            <w:vMerge w:val="continue"/>
          </w:tcPr>
          <w:p>
            <w:pPr>
              <w:spacing w:after="0"/>
              <w:rPr>
                <w:sz w:val="17"/>
                <w:szCs w:val="17"/>
                <w:color w:val="auto"/>
              </w:rPr>
            </w:pPr>
          </w:p>
        </w:tc>
        <w:tc>
          <w:tcPr>
            <w:tcW w:w="14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2"/>
                <w:szCs w:val="22"/>
                <w:color w:val="0C0C0C"/>
              </w:rPr>
              <w:t>--</w:t>
            </w:r>
          </w:p>
        </w:tc>
        <w:tc>
          <w:tcPr>
            <w:tcW w:w="2860" w:type="dxa"/>
            <w:vAlign w:val="bottom"/>
            <w:tcBorders>
              <w:right w:val="single" w:sz="8" w:color="auto"/>
            </w:tcBorders>
            <w:vMerge w:val="restart"/>
          </w:tcPr>
          <w:p>
            <w:pPr>
              <w:ind w:left="80"/>
              <w:spacing w:after="0" w:line="267" w:lineRule="exact"/>
              <w:rPr>
                <w:sz w:val="20"/>
                <w:szCs w:val="20"/>
                <w:color w:val="auto"/>
              </w:rPr>
            </w:pPr>
            <w:r>
              <w:rPr>
                <w:rFonts w:ascii="宋体" w:cs="宋体" w:eastAsia="宋体" w:hAnsi="宋体"/>
                <w:sz w:val="22"/>
                <w:szCs w:val="22"/>
                <w:color w:val="0C0C0C"/>
              </w:rPr>
              <w:t>列市</w:t>
            </w:r>
            <w:r>
              <w:rPr>
                <w:rFonts w:ascii="Arial" w:cs="Arial" w:eastAsia="Arial" w:hAnsi="Arial"/>
                <w:sz w:val="22"/>
                <w:szCs w:val="22"/>
                <w:color w:val="0C0C0C"/>
              </w:rPr>
              <w:t>≥30</w:t>
            </w:r>
          </w:p>
        </w:tc>
        <w:tc>
          <w:tcPr>
            <w:tcW w:w="0" w:type="dxa"/>
            <w:vAlign w:val="bottom"/>
          </w:tcPr>
          <w:p>
            <w:pPr>
              <w:spacing w:after="0"/>
              <w:rPr>
                <w:sz w:val="1"/>
                <w:szCs w:val="1"/>
                <w:color w:val="auto"/>
              </w:rPr>
            </w:pPr>
          </w:p>
        </w:tc>
      </w:tr>
      <w:tr>
        <w:trPr>
          <w:trHeight w:val="156"/>
        </w:trPr>
        <w:tc>
          <w:tcPr>
            <w:tcW w:w="940" w:type="dxa"/>
            <w:vAlign w:val="bottom"/>
            <w:tcBorders>
              <w:left w:val="single" w:sz="8" w:color="auto"/>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0C0C0C"/>
                <w:w w:val="99"/>
              </w:rPr>
              <w:t>通信</w:t>
            </w:r>
          </w:p>
        </w:tc>
        <w:tc>
          <w:tcPr>
            <w:tcW w:w="660" w:type="dxa"/>
            <w:vAlign w:val="bottom"/>
            <w:tcBorders>
              <w:right w:val="single" w:sz="8" w:color="auto"/>
            </w:tcBorders>
            <w:vMerge w:val="continue"/>
          </w:tcPr>
          <w:p>
            <w:pPr>
              <w:spacing w:after="0"/>
              <w:rPr>
                <w:sz w:val="13"/>
                <w:szCs w:val="13"/>
                <w:color w:val="auto"/>
              </w:rPr>
            </w:pPr>
          </w:p>
        </w:tc>
        <w:tc>
          <w:tcPr>
            <w:tcW w:w="3160" w:type="dxa"/>
            <w:vAlign w:val="bottom"/>
            <w:tcBorders>
              <w:right w:val="single" w:sz="8" w:color="auto"/>
            </w:tcBorders>
            <w:vMerge w:val="restart"/>
          </w:tcPr>
          <w:p>
            <w:pPr>
              <w:ind w:left="100"/>
              <w:spacing w:after="0" w:line="267" w:lineRule="exact"/>
              <w:rPr>
                <w:sz w:val="20"/>
                <w:szCs w:val="20"/>
                <w:color w:val="auto"/>
              </w:rPr>
            </w:pPr>
            <w:r>
              <w:rPr>
                <w:rFonts w:ascii="宋体" w:cs="宋体" w:eastAsia="宋体" w:hAnsi="宋体"/>
                <w:sz w:val="22"/>
                <w:szCs w:val="22"/>
                <w:color w:val="0C0C0C"/>
              </w:rPr>
              <w:t>率（</w:t>
            </w:r>
            <w:r>
              <w:rPr>
                <w:rFonts w:ascii="Arial" w:cs="Arial" w:eastAsia="Arial" w:hAnsi="Arial"/>
                <w:sz w:val="22"/>
                <w:szCs w:val="22"/>
                <w:color w:val="0C0C0C"/>
              </w:rPr>
              <w:t>%</w:t>
            </w:r>
            <w:r>
              <w:rPr>
                <w:rFonts w:ascii="宋体" w:cs="宋体" w:eastAsia="宋体" w:hAnsi="宋体"/>
                <w:sz w:val="22"/>
                <w:szCs w:val="22"/>
                <w:color w:val="0C0C0C"/>
              </w:rPr>
              <w:t>）</w:t>
            </w:r>
          </w:p>
        </w:tc>
        <w:tc>
          <w:tcPr>
            <w:tcW w:w="1460" w:type="dxa"/>
            <w:vAlign w:val="bottom"/>
            <w:tcBorders>
              <w:right w:val="single" w:sz="8" w:color="auto"/>
            </w:tcBorders>
            <w:vMerge w:val="continue"/>
          </w:tcPr>
          <w:p>
            <w:pPr>
              <w:spacing w:after="0"/>
              <w:rPr>
                <w:sz w:val="13"/>
                <w:szCs w:val="13"/>
                <w:color w:val="auto"/>
              </w:rPr>
            </w:pPr>
          </w:p>
        </w:tc>
        <w:tc>
          <w:tcPr>
            <w:tcW w:w="28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04"/>
        </w:trPr>
        <w:tc>
          <w:tcPr>
            <w:tcW w:w="940" w:type="dxa"/>
            <w:vAlign w:val="bottom"/>
            <w:tcBorders>
              <w:left w:val="single" w:sz="8" w:color="auto"/>
              <w:right w:val="single" w:sz="8" w:color="auto"/>
            </w:tcBorders>
            <w:vMerge w:val="continue"/>
          </w:tcPr>
          <w:p>
            <w:pPr>
              <w:spacing w:after="0"/>
              <w:rPr>
                <w:sz w:val="17"/>
                <w:szCs w:val="17"/>
                <w:color w:val="auto"/>
              </w:rPr>
            </w:pPr>
          </w:p>
        </w:tc>
        <w:tc>
          <w:tcPr>
            <w:tcW w:w="660" w:type="dxa"/>
            <w:vAlign w:val="bottom"/>
            <w:tcBorders>
              <w:right w:val="single" w:sz="8" w:color="auto"/>
            </w:tcBorders>
          </w:tcPr>
          <w:p>
            <w:pPr>
              <w:spacing w:after="0"/>
              <w:rPr>
                <w:sz w:val="17"/>
                <w:szCs w:val="17"/>
                <w:color w:val="auto"/>
              </w:rPr>
            </w:pPr>
          </w:p>
        </w:tc>
        <w:tc>
          <w:tcPr>
            <w:tcW w:w="3160" w:type="dxa"/>
            <w:vAlign w:val="bottom"/>
            <w:tcBorders>
              <w:right w:val="single" w:sz="8" w:color="auto"/>
            </w:tcBorders>
            <w:vMerge w:val="continue"/>
          </w:tcPr>
          <w:p>
            <w:pPr>
              <w:spacing w:after="0"/>
              <w:rPr>
                <w:sz w:val="17"/>
                <w:szCs w:val="17"/>
                <w:color w:val="auto"/>
              </w:rPr>
            </w:pPr>
          </w:p>
        </w:tc>
        <w:tc>
          <w:tcPr>
            <w:tcW w:w="1460" w:type="dxa"/>
            <w:vAlign w:val="bottom"/>
            <w:tcBorders>
              <w:right w:val="single" w:sz="8" w:color="auto"/>
            </w:tcBorders>
          </w:tcPr>
          <w:p>
            <w:pPr>
              <w:spacing w:after="0"/>
              <w:rPr>
                <w:sz w:val="17"/>
                <w:szCs w:val="17"/>
                <w:color w:val="auto"/>
              </w:rPr>
            </w:pPr>
          </w:p>
        </w:tc>
        <w:tc>
          <w:tcPr>
            <w:tcW w:w="2860" w:type="dxa"/>
            <w:vAlign w:val="bottom"/>
            <w:tcBorders>
              <w:right w:val="single" w:sz="8" w:color="auto"/>
            </w:tcBorders>
            <w:vMerge w:val="restart"/>
          </w:tcPr>
          <w:p>
            <w:pPr>
              <w:ind w:left="80"/>
              <w:spacing w:after="0" w:line="267" w:lineRule="exact"/>
              <w:rPr>
                <w:sz w:val="20"/>
                <w:szCs w:val="20"/>
                <w:color w:val="auto"/>
              </w:rPr>
            </w:pPr>
            <w:r>
              <w:rPr>
                <w:rFonts w:ascii="宋体" w:cs="宋体" w:eastAsia="宋体" w:hAnsi="宋体"/>
                <w:sz w:val="22"/>
                <w:szCs w:val="22"/>
                <w:color w:val="0C0C0C"/>
              </w:rPr>
              <w:t>地级以上城市</w:t>
            </w:r>
            <w:r>
              <w:rPr>
                <w:rFonts w:ascii="Arial" w:cs="Arial" w:eastAsia="Arial" w:hAnsi="Arial"/>
                <w:sz w:val="22"/>
                <w:szCs w:val="22"/>
                <w:color w:val="0C0C0C"/>
              </w:rPr>
              <w:t>≥15</w:t>
            </w:r>
          </w:p>
        </w:tc>
        <w:tc>
          <w:tcPr>
            <w:tcW w:w="0" w:type="dxa"/>
            <w:vAlign w:val="bottom"/>
          </w:tcPr>
          <w:p>
            <w:pPr>
              <w:spacing w:after="0"/>
              <w:rPr>
                <w:sz w:val="1"/>
                <w:szCs w:val="1"/>
                <w:color w:val="auto"/>
              </w:rPr>
            </w:pPr>
          </w:p>
        </w:tc>
      </w:tr>
      <w:tr>
        <w:trPr>
          <w:trHeight w:val="156"/>
        </w:trPr>
        <w:tc>
          <w:tcPr>
            <w:tcW w:w="940" w:type="dxa"/>
            <w:vAlign w:val="bottom"/>
            <w:tcBorders>
              <w:left w:val="single" w:sz="8" w:color="auto"/>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0C0C0C"/>
                <w:w w:val="99"/>
              </w:rPr>
              <w:t>系统</w:t>
            </w:r>
          </w:p>
        </w:tc>
        <w:tc>
          <w:tcPr>
            <w:tcW w:w="660" w:type="dxa"/>
            <w:vAlign w:val="bottom"/>
            <w:tcBorders>
              <w:right w:val="single" w:sz="8" w:color="auto"/>
            </w:tcBorders>
          </w:tcPr>
          <w:p>
            <w:pPr>
              <w:spacing w:after="0"/>
              <w:rPr>
                <w:sz w:val="13"/>
                <w:szCs w:val="13"/>
                <w:color w:val="auto"/>
              </w:rPr>
            </w:pPr>
          </w:p>
        </w:tc>
        <w:tc>
          <w:tcPr>
            <w:tcW w:w="3160" w:type="dxa"/>
            <w:vAlign w:val="bottom"/>
            <w:tcBorders>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28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33"/>
        </w:trPr>
        <w:tc>
          <w:tcPr>
            <w:tcW w:w="940" w:type="dxa"/>
            <w:vAlign w:val="bottom"/>
            <w:tcBorders>
              <w:left w:val="single" w:sz="8" w:color="auto"/>
              <w:right w:val="single" w:sz="8" w:color="auto"/>
            </w:tcBorders>
            <w:vMerge w:val="continue"/>
          </w:tcPr>
          <w:p>
            <w:pPr>
              <w:spacing w:after="0"/>
              <w:rPr>
                <w:sz w:val="2"/>
                <w:szCs w:val="2"/>
                <w:color w:val="auto"/>
              </w:rPr>
            </w:pPr>
          </w:p>
        </w:tc>
        <w:tc>
          <w:tcPr>
            <w:tcW w:w="660" w:type="dxa"/>
            <w:vAlign w:val="bottom"/>
            <w:tcBorders>
              <w:bottom w:val="single" w:sz="8" w:color="auto"/>
              <w:right w:val="single" w:sz="8" w:color="auto"/>
            </w:tcBorders>
          </w:tcPr>
          <w:p>
            <w:pPr>
              <w:spacing w:after="0"/>
              <w:rPr>
                <w:sz w:val="2"/>
                <w:szCs w:val="2"/>
                <w:color w:val="auto"/>
              </w:rPr>
            </w:pPr>
          </w:p>
        </w:tc>
        <w:tc>
          <w:tcPr>
            <w:tcW w:w="3160" w:type="dxa"/>
            <w:vAlign w:val="bottom"/>
            <w:tcBorders>
              <w:bottom w:val="single" w:sz="8" w:color="auto"/>
              <w:right w:val="single" w:sz="8" w:color="auto"/>
            </w:tcBorders>
          </w:tcPr>
          <w:p>
            <w:pPr>
              <w:spacing w:after="0"/>
              <w:rPr>
                <w:sz w:val="2"/>
                <w:szCs w:val="2"/>
                <w:color w:val="auto"/>
              </w:rPr>
            </w:pPr>
          </w:p>
        </w:tc>
        <w:tc>
          <w:tcPr>
            <w:tcW w:w="1460" w:type="dxa"/>
            <w:vAlign w:val="bottom"/>
            <w:tcBorders>
              <w:bottom w:val="single" w:sz="8" w:color="auto"/>
              <w:right w:val="single" w:sz="8" w:color="auto"/>
            </w:tcBorders>
          </w:tcPr>
          <w:p>
            <w:pPr>
              <w:spacing w:after="0"/>
              <w:rPr>
                <w:sz w:val="2"/>
                <w:szCs w:val="2"/>
                <w:color w:val="auto"/>
              </w:rPr>
            </w:pPr>
          </w:p>
        </w:tc>
        <w:tc>
          <w:tcPr>
            <w:tcW w:w="28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51"/>
        </w:trPr>
        <w:tc>
          <w:tcPr>
            <w:tcW w:w="940" w:type="dxa"/>
            <w:vAlign w:val="bottom"/>
            <w:tcBorders>
              <w:left w:val="single" w:sz="8" w:color="auto"/>
              <w:right w:val="single" w:sz="8" w:color="auto"/>
            </w:tcBorders>
            <w:vMerge w:val="continue"/>
          </w:tcPr>
          <w:p>
            <w:pPr>
              <w:spacing w:after="0"/>
              <w:rPr>
                <w:sz w:val="13"/>
                <w:szCs w:val="13"/>
                <w:color w:val="auto"/>
              </w:rPr>
            </w:pPr>
          </w:p>
        </w:tc>
        <w:tc>
          <w:tcPr>
            <w:tcW w:w="6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2"/>
                <w:szCs w:val="22"/>
                <w:color w:val="0C0C0C"/>
                <w:w w:val="89"/>
              </w:rPr>
              <w:t>20</w:t>
            </w:r>
          </w:p>
        </w:tc>
        <w:tc>
          <w:tcPr>
            <w:tcW w:w="3160" w:type="dxa"/>
            <w:vAlign w:val="bottom"/>
            <w:tcBorders>
              <w:right w:val="single" w:sz="8" w:color="auto"/>
            </w:tcBorders>
            <w:vMerge w:val="restart"/>
          </w:tcPr>
          <w:p>
            <w:pPr>
              <w:ind w:left="100"/>
              <w:spacing w:after="0" w:line="267" w:lineRule="exact"/>
              <w:rPr>
                <w:sz w:val="20"/>
                <w:szCs w:val="20"/>
                <w:color w:val="auto"/>
              </w:rPr>
            </w:pPr>
            <w:r>
              <w:rPr>
                <w:rFonts w:ascii="Arial" w:cs="Arial" w:eastAsia="Arial" w:hAnsi="Arial"/>
                <w:sz w:val="22"/>
                <w:szCs w:val="22"/>
                <w:color w:val="0C0C0C"/>
              </w:rPr>
              <w:t xml:space="preserve">5G </w:t>
            </w:r>
            <w:r>
              <w:rPr>
                <w:rFonts w:ascii="宋体" w:cs="宋体" w:eastAsia="宋体" w:hAnsi="宋体"/>
                <w:sz w:val="22"/>
                <w:szCs w:val="22"/>
                <w:color w:val="0C0C0C"/>
              </w:rPr>
              <w:t>用户普及率（</w:t>
            </w:r>
            <w:r>
              <w:rPr>
                <w:rFonts w:ascii="Arial" w:cs="Arial" w:eastAsia="Arial" w:hAnsi="Arial"/>
                <w:sz w:val="22"/>
                <w:szCs w:val="22"/>
                <w:color w:val="0C0C0C"/>
              </w:rPr>
              <w:t>%</w:t>
            </w:r>
            <w:r>
              <w:rPr>
                <w:rFonts w:ascii="宋体" w:cs="宋体" w:eastAsia="宋体" w:hAnsi="宋体"/>
                <w:sz w:val="22"/>
                <w:szCs w:val="22"/>
                <w:color w:val="0C0C0C"/>
              </w:rPr>
              <w:t>）</w:t>
            </w:r>
          </w:p>
        </w:tc>
        <w:tc>
          <w:tcPr>
            <w:tcW w:w="1460" w:type="dxa"/>
            <w:vAlign w:val="bottom"/>
            <w:tcBorders>
              <w:right w:val="single" w:sz="8" w:color="auto"/>
            </w:tcBorders>
            <w:vMerge w:val="restart"/>
          </w:tcPr>
          <w:p>
            <w:pPr>
              <w:jc w:val="center"/>
              <w:spacing w:after="0" w:line="267" w:lineRule="exact"/>
              <w:rPr>
                <w:sz w:val="20"/>
                <w:szCs w:val="20"/>
                <w:color w:val="auto"/>
              </w:rPr>
            </w:pPr>
            <w:r>
              <w:rPr>
                <w:rFonts w:ascii="宋体" w:cs="宋体" w:eastAsia="宋体" w:hAnsi="宋体"/>
                <w:sz w:val="22"/>
                <w:szCs w:val="22"/>
                <w:color w:val="0C0C0C"/>
                <w:w w:val="98"/>
              </w:rPr>
              <w:t>小于</w:t>
            </w:r>
            <w:r>
              <w:rPr>
                <w:rFonts w:ascii="Arial" w:cs="Arial" w:eastAsia="Arial" w:hAnsi="Arial"/>
                <w:sz w:val="22"/>
                <w:szCs w:val="22"/>
                <w:color w:val="0C0C0C"/>
                <w:w w:val="98"/>
              </w:rPr>
              <w:t xml:space="preserve"> 1*</w:t>
            </w:r>
          </w:p>
        </w:tc>
        <w:tc>
          <w:tcPr>
            <w:tcW w:w="28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2"/>
                <w:szCs w:val="22"/>
                <w:color w:val="0C0C0C"/>
              </w:rPr>
              <w:t>≥56</w:t>
            </w:r>
          </w:p>
        </w:tc>
        <w:tc>
          <w:tcPr>
            <w:tcW w:w="0" w:type="dxa"/>
            <w:vAlign w:val="bottom"/>
          </w:tcPr>
          <w:p>
            <w:pPr>
              <w:spacing w:after="0"/>
              <w:rPr>
                <w:sz w:val="1"/>
                <w:szCs w:val="1"/>
                <w:color w:val="auto"/>
              </w:rPr>
            </w:pPr>
          </w:p>
        </w:tc>
      </w:tr>
      <w:tr>
        <w:trPr>
          <w:trHeight w:val="185"/>
        </w:trPr>
        <w:tc>
          <w:tcPr>
            <w:tcW w:w="940" w:type="dxa"/>
            <w:vAlign w:val="bottom"/>
            <w:tcBorders>
              <w:left w:val="single" w:sz="8" w:color="auto"/>
              <w:right w:val="single" w:sz="8" w:color="auto"/>
            </w:tcBorders>
          </w:tcPr>
          <w:p>
            <w:pPr>
              <w:spacing w:after="0"/>
              <w:rPr>
                <w:sz w:val="16"/>
                <w:szCs w:val="16"/>
                <w:color w:val="auto"/>
              </w:rPr>
            </w:pPr>
          </w:p>
        </w:tc>
        <w:tc>
          <w:tcPr>
            <w:tcW w:w="660" w:type="dxa"/>
            <w:vAlign w:val="bottom"/>
            <w:tcBorders>
              <w:right w:val="single" w:sz="8" w:color="auto"/>
            </w:tcBorders>
            <w:vMerge w:val="continue"/>
          </w:tcPr>
          <w:p>
            <w:pPr>
              <w:spacing w:after="0"/>
              <w:rPr>
                <w:sz w:val="16"/>
                <w:szCs w:val="16"/>
                <w:color w:val="auto"/>
              </w:rPr>
            </w:pPr>
          </w:p>
        </w:tc>
        <w:tc>
          <w:tcPr>
            <w:tcW w:w="3160" w:type="dxa"/>
            <w:vAlign w:val="bottom"/>
            <w:tcBorders>
              <w:right w:val="single" w:sz="8" w:color="auto"/>
            </w:tcBorders>
            <w:vMerge w:val="continue"/>
          </w:tcPr>
          <w:p>
            <w:pPr>
              <w:spacing w:after="0"/>
              <w:rPr>
                <w:sz w:val="16"/>
                <w:szCs w:val="16"/>
                <w:color w:val="auto"/>
              </w:rPr>
            </w:pPr>
          </w:p>
        </w:tc>
        <w:tc>
          <w:tcPr>
            <w:tcW w:w="1460" w:type="dxa"/>
            <w:vAlign w:val="bottom"/>
            <w:tcBorders>
              <w:right w:val="single" w:sz="8" w:color="auto"/>
            </w:tcBorders>
            <w:vMerge w:val="continue"/>
          </w:tcPr>
          <w:p>
            <w:pPr>
              <w:spacing w:after="0"/>
              <w:rPr>
                <w:sz w:val="16"/>
                <w:szCs w:val="16"/>
                <w:color w:val="auto"/>
              </w:rPr>
            </w:pPr>
          </w:p>
        </w:tc>
        <w:tc>
          <w:tcPr>
            <w:tcW w:w="286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50"/>
        </w:trPr>
        <w:tc>
          <w:tcPr>
            <w:tcW w:w="940" w:type="dxa"/>
            <w:vAlign w:val="bottom"/>
            <w:tcBorders>
              <w:left w:val="single" w:sz="8" w:color="auto"/>
              <w:bottom w:val="single" w:sz="8" w:color="auto"/>
              <w:right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316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2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080"/>
          </w:cols>
          <w:pgMar w:left="1420" w:top="1440" w:right="1406" w:bottom="666" w:gutter="0" w:footer="0" w:header="0"/>
        </w:sectPr>
      </w:pPr>
    </w:p>
    <w:p>
      <w:pPr>
        <w:spacing w:after="0" w:line="30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5</w:t>
      </w:r>
    </w:p>
    <w:p>
      <w:pPr>
        <w:sectPr>
          <w:pgSz w:w="11900" w:h="16838" w:orient="portrait"/>
          <w:cols w:equalWidth="0" w:num="1">
            <w:col w:w="9080"/>
          </w:cols>
          <w:pgMar w:left="1420" w:top="1440" w:right="1406" w:bottom="666" w:gutter="0" w:footer="0" w:header="0"/>
          <w:type w:val="continuous"/>
        </w:sectPr>
      </w:pPr>
    </w:p>
    <w:bookmarkStart w:id="5" w:name="page6"/>
    <w:bookmarkEnd w:id="5"/>
    <w:p>
      <w:pPr>
        <w:spacing w:after="0" w:line="241" w:lineRule="exact"/>
        <w:rPr>
          <w:sz w:val="20"/>
          <w:szCs w:val="20"/>
          <w:color w:val="auto"/>
        </w:rPr>
      </w:pPr>
    </w:p>
    <w:tbl>
      <w:tblPr>
        <w:tblLayout w:type="fixed"/>
        <w:tblInd w:w="10" w:type="dxa"/>
        <w:tblCellMar>
          <w:top w:w="0" w:type="dxa"/>
          <w:left w:w="0" w:type="dxa"/>
          <w:bottom w:w="0" w:type="dxa"/>
          <w:right w:w="0" w:type="dxa"/>
        </w:tblCellMar>
      </w:tblPr>
      <w:tr>
        <w:trPr>
          <w:trHeight w:val="370"/>
        </w:trPr>
        <w:tc>
          <w:tcPr>
            <w:tcW w:w="940" w:type="dxa"/>
            <w:vAlign w:val="bottom"/>
            <w:tcBorders>
              <w:top w:val="single" w:sz="8" w:color="auto"/>
              <w:left w:val="single" w:sz="8" w:color="auto"/>
              <w:right w:val="single" w:sz="8" w:color="auto"/>
            </w:tcBorders>
          </w:tcPr>
          <w:p>
            <w:pPr>
              <w:ind w:left="240"/>
              <w:spacing w:after="0" w:line="251" w:lineRule="exact"/>
              <w:rPr>
                <w:sz w:val="20"/>
                <w:szCs w:val="20"/>
                <w:color w:val="auto"/>
              </w:rPr>
            </w:pPr>
            <w:r>
              <w:rPr>
                <w:rFonts w:ascii="宋体" w:cs="宋体" w:eastAsia="宋体" w:hAnsi="宋体"/>
                <w:sz w:val="22"/>
                <w:szCs w:val="22"/>
                <w:b w:val="1"/>
                <w:bCs w:val="1"/>
                <w:color w:val="0C0C0C"/>
              </w:rPr>
              <w:t>类别</w:t>
            </w:r>
          </w:p>
        </w:tc>
        <w:tc>
          <w:tcPr>
            <w:tcW w:w="660" w:type="dxa"/>
            <w:vAlign w:val="bottom"/>
            <w:tcBorders>
              <w:top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b w:val="1"/>
                <w:bCs w:val="1"/>
                <w:color w:val="0C0C0C"/>
                <w:w w:val="99"/>
              </w:rPr>
              <w:t>序号</w:t>
            </w:r>
          </w:p>
        </w:tc>
        <w:tc>
          <w:tcPr>
            <w:tcW w:w="3160" w:type="dxa"/>
            <w:vAlign w:val="bottom"/>
            <w:tcBorders>
              <w:top w:val="single" w:sz="8" w:color="auto"/>
              <w:right w:val="single" w:sz="8" w:color="auto"/>
            </w:tcBorders>
          </w:tcPr>
          <w:p>
            <w:pPr>
              <w:ind w:left="1120"/>
              <w:spacing w:after="0" w:line="251" w:lineRule="exact"/>
              <w:rPr>
                <w:sz w:val="20"/>
                <w:szCs w:val="20"/>
                <w:color w:val="auto"/>
              </w:rPr>
            </w:pPr>
            <w:r>
              <w:rPr>
                <w:rFonts w:ascii="宋体" w:cs="宋体" w:eastAsia="宋体" w:hAnsi="宋体"/>
                <w:sz w:val="22"/>
                <w:szCs w:val="22"/>
                <w:b w:val="1"/>
                <w:bCs w:val="1"/>
                <w:color w:val="0C0C0C"/>
              </w:rPr>
              <w:t>发展指标</w:t>
            </w:r>
          </w:p>
        </w:tc>
        <w:tc>
          <w:tcPr>
            <w:tcW w:w="1460" w:type="dxa"/>
            <w:vAlign w:val="bottom"/>
            <w:tcBorders>
              <w:top w:val="single" w:sz="8" w:color="auto"/>
              <w:right w:val="single" w:sz="8" w:color="auto"/>
            </w:tcBorders>
          </w:tcPr>
          <w:p>
            <w:pPr>
              <w:jc w:val="center"/>
              <w:spacing w:after="0" w:line="267" w:lineRule="exact"/>
              <w:rPr>
                <w:sz w:val="20"/>
                <w:szCs w:val="20"/>
                <w:color w:val="auto"/>
              </w:rPr>
            </w:pPr>
            <w:r>
              <w:rPr>
                <w:rFonts w:ascii="Arial" w:cs="Arial" w:eastAsia="Arial" w:hAnsi="Arial"/>
                <w:sz w:val="22"/>
                <w:szCs w:val="22"/>
                <w:b w:val="1"/>
                <w:bCs w:val="1"/>
                <w:color w:val="0C0C0C"/>
                <w:w w:val="95"/>
              </w:rPr>
              <w:t xml:space="preserve">2020 </w:t>
            </w:r>
            <w:r>
              <w:rPr>
                <w:rFonts w:ascii="宋体" w:cs="宋体" w:eastAsia="宋体" w:hAnsi="宋体"/>
                <w:sz w:val="22"/>
                <w:szCs w:val="22"/>
                <w:b w:val="1"/>
                <w:bCs w:val="1"/>
                <w:color w:val="0C0C0C"/>
                <w:w w:val="95"/>
              </w:rPr>
              <w:t>年现状</w:t>
            </w:r>
          </w:p>
        </w:tc>
        <w:tc>
          <w:tcPr>
            <w:tcW w:w="2860" w:type="dxa"/>
            <w:vAlign w:val="bottom"/>
            <w:tcBorders>
              <w:top w:val="single" w:sz="8" w:color="auto"/>
              <w:right w:val="single" w:sz="8" w:color="auto"/>
            </w:tcBorders>
          </w:tcPr>
          <w:p>
            <w:pPr>
              <w:jc w:val="center"/>
              <w:spacing w:after="0" w:line="267" w:lineRule="exact"/>
              <w:rPr>
                <w:sz w:val="20"/>
                <w:szCs w:val="20"/>
                <w:color w:val="auto"/>
              </w:rPr>
            </w:pPr>
            <w:r>
              <w:rPr>
                <w:rFonts w:ascii="Arial" w:cs="Arial" w:eastAsia="Arial" w:hAnsi="Arial"/>
                <w:sz w:val="22"/>
                <w:szCs w:val="22"/>
                <w:b w:val="1"/>
                <w:bCs w:val="1"/>
                <w:color w:val="0C0C0C"/>
                <w:w w:val="95"/>
              </w:rPr>
              <w:t xml:space="preserve">2025 </w:t>
            </w:r>
            <w:r>
              <w:rPr>
                <w:rFonts w:ascii="宋体" w:cs="宋体" w:eastAsia="宋体" w:hAnsi="宋体"/>
                <w:sz w:val="22"/>
                <w:szCs w:val="22"/>
                <w:b w:val="1"/>
                <w:bCs w:val="1"/>
                <w:color w:val="0C0C0C"/>
                <w:w w:val="95"/>
              </w:rPr>
              <w:t>年目标</w:t>
            </w:r>
          </w:p>
        </w:tc>
        <w:tc>
          <w:tcPr>
            <w:tcW w:w="0" w:type="dxa"/>
            <w:vAlign w:val="bottom"/>
          </w:tcPr>
          <w:p>
            <w:pPr>
              <w:spacing w:after="0"/>
              <w:rPr>
                <w:sz w:val="1"/>
                <w:szCs w:val="1"/>
                <w:color w:val="auto"/>
              </w:rPr>
            </w:pPr>
          </w:p>
        </w:tc>
      </w:tr>
      <w:tr>
        <w:trPr>
          <w:trHeight w:val="65"/>
        </w:trPr>
        <w:tc>
          <w:tcPr>
            <w:tcW w:w="940" w:type="dxa"/>
            <w:vAlign w:val="bottom"/>
            <w:tcBorders>
              <w:left w:val="single" w:sz="8" w:color="auto"/>
              <w:bottom w:val="single" w:sz="8" w:color="auto"/>
              <w:right w:val="single" w:sz="8" w:color="auto"/>
            </w:tcBorders>
          </w:tcPr>
          <w:p>
            <w:pPr>
              <w:spacing w:after="0"/>
              <w:rPr>
                <w:sz w:val="5"/>
                <w:szCs w:val="5"/>
                <w:color w:val="auto"/>
              </w:rPr>
            </w:pPr>
          </w:p>
        </w:tc>
        <w:tc>
          <w:tcPr>
            <w:tcW w:w="660" w:type="dxa"/>
            <w:vAlign w:val="bottom"/>
            <w:tcBorders>
              <w:bottom w:val="single" w:sz="8" w:color="auto"/>
              <w:right w:val="single" w:sz="8" w:color="auto"/>
            </w:tcBorders>
          </w:tcPr>
          <w:p>
            <w:pPr>
              <w:spacing w:after="0"/>
              <w:rPr>
                <w:sz w:val="5"/>
                <w:szCs w:val="5"/>
                <w:color w:val="auto"/>
              </w:rPr>
            </w:pPr>
          </w:p>
        </w:tc>
        <w:tc>
          <w:tcPr>
            <w:tcW w:w="3160" w:type="dxa"/>
            <w:vAlign w:val="bottom"/>
            <w:tcBorders>
              <w:bottom w:val="single" w:sz="8" w:color="auto"/>
              <w:right w:val="single" w:sz="8" w:color="auto"/>
            </w:tcBorders>
          </w:tcPr>
          <w:p>
            <w:pPr>
              <w:spacing w:after="0"/>
              <w:rPr>
                <w:sz w:val="5"/>
                <w:szCs w:val="5"/>
                <w:color w:val="auto"/>
              </w:rPr>
            </w:pPr>
          </w:p>
        </w:tc>
        <w:tc>
          <w:tcPr>
            <w:tcW w:w="1460" w:type="dxa"/>
            <w:vAlign w:val="bottom"/>
            <w:tcBorders>
              <w:bottom w:val="single" w:sz="8" w:color="auto"/>
              <w:right w:val="single" w:sz="8" w:color="auto"/>
            </w:tcBorders>
          </w:tcPr>
          <w:p>
            <w:pPr>
              <w:spacing w:after="0"/>
              <w:rPr>
                <w:sz w:val="5"/>
                <w:szCs w:val="5"/>
                <w:color w:val="auto"/>
              </w:rPr>
            </w:pPr>
          </w:p>
        </w:tc>
        <w:tc>
          <w:tcPr>
            <w:tcW w:w="2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16"/>
        </w:trPr>
        <w:tc>
          <w:tcPr>
            <w:tcW w:w="940" w:type="dxa"/>
            <w:vAlign w:val="bottom"/>
            <w:tcBorders>
              <w:left w:val="single" w:sz="8" w:color="auto"/>
              <w:right w:val="single" w:sz="8" w:color="auto"/>
            </w:tcBorders>
          </w:tcPr>
          <w:p>
            <w:pPr>
              <w:spacing w:after="0"/>
              <w:rPr>
                <w:sz w:val="24"/>
                <w:szCs w:val="24"/>
                <w:color w:val="auto"/>
              </w:rPr>
            </w:pPr>
          </w:p>
        </w:tc>
        <w:tc>
          <w:tcPr>
            <w:tcW w:w="660" w:type="dxa"/>
            <w:vAlign w:val="bottom"/>
            <w:tcBorders>
              <w:right w:val="single" w:sz="8" w:color="auto"/>
            </w:tcBorders>
            <w:vMerge w:val="restart"/>
          </w:tcPr>
          <w:p>
            <w:pPr>
              <w:jc w:val="right"/>
              <w:ind w:right="110"/>
              <w:spacing w:after="0"/>
              <w:rPr>
                <w:sz w:val="20"/>
                <w:szCs w:val="20"/>
                <w:color w:val="auto"/>
              </w:rPr>
            </w:pPr>
            <w:r>
              <w:rPr>
                <w:rFonts w:ascii="Arial" w:cs="Arial" w:eastAsia="Arial" w:hAnsi="Arial"/>
                <w:sz w:val="22"/>
                <w:szCs w:val="22"/>
                <w:color w:val="0C0C0C"/>
              </w:rPr>
              <w:t>21</w:t>
            </w:r>
          </w:p>
        </w:tc>
        <w:tc>
          <w:tcPr>
            <w:tcW w:w="3160" w:type="dxa"/>
            <w:vAlign w:val="bottom"/>
            <w:tcBorders>
              <w:right w:val="single" w:sz="8" w:color="auto"/>
            </w:tcBorders>
          </w:tcPr>
          <w:p>
            <w:pPr>
              <w:ind w:left="100"/>
              <w:spacing w:after="0" w:line="251" w:lineRule="exact"/>
              <w:rPr>
                <w:sz w:val="20"/>
                <w:szCs w:val="20"/>
                <w:color w:val="auto"/>
              </w:rPr>
            </w:pPr>
            <w:r>
              <w:rPr>
                <w:rFonts w:ascii="宋体" w:cs="宋体" w:eastAsia="宋体" w:hAnsi="宋体"/>
                <w:sz w:val="22"/>
                <w:szCs w:val="22"/>
                <w:color w:val="0C0C0C"/>
              </w:rPr>
              <w:t>城市千兆光纤宽带用户占比</w:t>
            </w:r>
          </w:p>
        </w:tc>
        <w:tc>
          <w:tcPr>
            <w:tcW w:w="1460" w:type="dxa"/>
            <w:vAlign w:val="bottom"/>
            <w:tcBorders>
              <w:right w:val="single" w:sz="8" w:color="auto"/>
            </w:tcBorders>
            <w:vMerge w:val="restart"/>
          </w:tcPr>
          <w:p>
            <w:pPr>
              <w:jc w:val="right"/>
              <w:ind w:right="370"/>
              <w:spacing w:after="0"/>
              <w:rPr>
                <w:sz w:val="20"/>
                <w:szCs w:val="20"/>
                <w:color w:val="auto"/>
              </w:rPr>
            </w:pPr>
            <w:r>
              <w:rPr>
                <w:rFonts w:ascii="Arial" w:cs="Arial" w:eastAsia="Arial" w:hAnsi="Arial"/>
                <w:sz w:val="22"/>
                <w:szCs w:val="22"/>
                <w:color w:val="0C0C0C"/>
              </w:rPr>
              <w:t>0.16*</w:t>
            </w:r>
          </w:p>
        </w:tc>
        <w:tc>
          <w:tcPr>
            <w:tcW w:w="28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2"/>
                <w:szCs w:val="22"/>
                <w:color w:val="0C0C0C"/>
              </w:rPr>
              <w:t>≥10</w:t>
            </w:r>
          </w:p>
        </w:tc>
        <w:tc>
          <w:tcPr>
            <w:tcW w:w="0" w:type="dxa"/>
            <w:vAlign w:val="bottom"/>
          </w:tcPr>
          <w:p>
            <w:pPr>
              <w:spacing w:after="0"/>
              <w:rPr>
                <w:sz w:val="1"/>
                <w:szCs w:val="1"/>
                <w:color w:val="auto"/>
              </w:rPr>
            </w:pPr>
          </w:p>
        </w:tc>
      </w:tr>
      <w:tr>
        <w:trPr>
          <w:trHeight w:val="180"/>
        </w:trPr>
        <w:tc>
          <w:tcPr>
            <w:tcW w:w="940" w:type="dxa"/>
            <w:vAlign w:val="bottom"/>
            <w:tcBorders>
              <w:left w:val="single" w:sz="8" w:color="auto"/>
              <w:right w:val="single" w:sz="8" w:color="auto"/>
            </w:tcBorders>
          </w:tcPr>
          <w:p>
            <w:pPr>
              <w:spacing w:after="0"/>
              <w:rPr>
                <w:sz w:val="15"/>
                <w:szCs w:val="15"/>
                <w:color w:val="auto"/>
              </w:rPr>
            </w:pPr>
          </w:p>
        </w:tc>
        <w:tc>
          <w:tcPr>
            <w:tcW w:w="660" w:type="dxa"/>
            <w:vAlign w:val="bottom"/>
            <w:tcBorders>
              <w:right w:val="single" w:sz="8" w:color="auto"/>
            </w:tcBorders>
            <w:vMerge w:val="continue"/>
          </w:tcPr>
          <w:p>
            <w:pPr>
              <w:spacing w:after="0"/>
              <w:rPr>
                <w:sz w:val="15"/>
                <w:szCs w:val="15"/>
                <w:color w:val="auto"/>
              </w:rPr>
            </w:pPr>
          </w:p>
        </w:tc>
        <w:tc>
          <w:tcPr>
            <w:tcW w:w="3160" w:type="dxa"/>
            <w:vAlign w:val="bottom"/>
            <w:tcBorders>
              <w:right w:val="single" w:sz="8" w:color="auto"/>
            </w:tcBorders>
            <w:vMerge w:val="restart"/>
          </w:tcPr>
          <w:p>
            <w:pPr>
              <w:ind w:left="100"/>
              <w:spacing w:after="0" w:line="267" w:lineRule="exact"/>
              <w:rPr>
                <w:sz w:val="20"/>
                <w:szCs w:val="20"/>
                <w:color w:val="auto"/>
              </w:rPr>
            </w:pPr>
            <w:r>
              <w:rPr>
                <w:rFonts w:ascii="宋体" w:cs="宋体" w:eastAsia="宋体" w:hAnsi="宋体"/>
                <w:sz w:val="22"/>
                <w:szCs w:val="22"/>
                <w:color w:val="0C0C0C"/>
              </w:rPr>
              <w:t>（</w:t>
            </w:r>
            <w:r>
              <w:rPr>
                <w:rFonts w:ascii="Arial" w:cs="Arial" w:eastAsia="Arial" w:hAnsi="Arial"/>
                <w:sz w:val="22"/>
                <w:szCs w:val="22"/>
                <w:color w:val="0C0C0C"/>
              </w:rPr>
              <w:t>%</w:t>
            </w:r>
            <w:r>
              <w:rPr>
                <w:rFonts w:ascii="宋体" w:cs="宋体" w:eastAsia="宋体" w:hAnsi="宋体"/>
                <w:sz w:val="22"/>
                <w:szCs w:val="22"/>
                <w:color w:val="0C0C0C"/>
              </w:rPr>
              <w:t>）</w:t>
            </w:r>
          </w:p>
        </w:tc>
        <w:tc>
          <w:tcPr>
            <w:tcW w:w="1460" w:type="dxa"/>
            <w:vAlign w:val="bottom"/>
            <w:tcBorders>
              <w:right w:val="single" w:sz="8" w:color="auto"/>
            </w:tcBorders>
            <w:vMerge w:val="continue"/>
          </w:tcPr>
          <w:p>
            <w:pPr>
              <w:spacing w:after="0"/>
              <w:rPr>
                <w:sz w:val="15"/>
                <w:szCs w:val="15"/>
                <w:color w:val="auto"/>
              </w:rPr>
            </w:pPr>
          </w:p>
        </w:tc>
        <w:tc>
          <w:tcPr>
            <w:tcW w:w="286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0"/>
        </w:trPr>
        <w:tc>
          <w:tcPr>
            <w:tcW w:w="940" w:type="dxa"/>
            <w:vAlign w:val="bottom"/>
            <w:tcBorders>
              <w:left w:val="single" w:sz="8" w:color="auto"/>
              <w:right w:val="single" w:sz="8" w:color="auto"/>
            </w:tcBorders>
          </w:tcPr>
          <w:p>
            <w:pPr>
              <w:spacing w:after="0"/>
              <w:rPr>
                <w:sz w:val="15"/>
                <w:szCs w:val="15"/>
                <w:color w:val="auto"/>
              </w:rPr>
            </w:pPr>
          </w:p>
        </w:tc>
        <w:tc>
          <w:tcPr>
            <w:tcW w:w="660" w:type="dxa"/>
            <w:vAlign w:val="bottom"/>
            <w:tcBorders>
              <w:right w:val="single" w:sz="8" w:color="auto"/>
            </w:tcBorders>
          </w:tcPr>
          <w:p>
            <w:pPr>
              <w:spacing w:after="0"/>
              <w:rPr>
                <w:sz w:val="15"/>
                <w:szCs w:val="15"/>
                <w:color w:val="auto"/>
              </w:rPr>
            </w:pPr>
          </w:p>
        </w:tc>
        <w:tc>
          <w:tcPr>
            <w:tcW w:w="3160" w:type="dxa"/>
            <w:vAlign w:val="bottom"/>
            <w:tcBorders>
              <w:right w:val="single" w:sz="8" w:color="auto"/>
            </w:tcBorders>
            <w:vMerge w:val="continue"/>
          </w:tcPr>
          <w:p>
            <w:pPr>
              <w:spacing w:after="0"/>
              <w:rPr>
                <w:sz w:val="15"/>
                <w:szCs w:val="15"/>
                <w:color w:val="auto"/>
              </w:rPr>
            </w:pPr>
          </w:p>
        </w:tc>
        <w:tc>
          <w:tcPr>
            <w:tcW w:w="1460" w:type="dxa"/>
            <w:vAlign w:val="bottom"/>
            <w:tcBorders>
              <w:right w:val="single" w:sz="8" w:color="auto"/>
            </w:tcBorders>
          </w:tcPr>
          <w:p>
            <w:pPr>
              <w:spacing w:after="0"/>
              <w:rPr>
                <w:sz w:val="15"/>
                <w:szCs w:val="15"/>
                <w:color w:val="auto"/>
              </w:rPr>
            </w:pPr>
          </w:p>
        </w:tc>
        <w:tc>
          <w:tcPr>
            <w:tcW w:w="28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34"/>
        </w:trPr>
        <w:tc>
          <w:tcPr>
            <w:tcW w:w="940" w:type="dxa"/>
            <w:vAlign w:val="bottom"/>
            <w:tcBorders>
              <w:left w:val="single" w:sz="8" w:color="auto"/>
              <w:bottom w:val="single" w:sz="8" w:color="auto"/>
              <w:right w:val="single" w:sz="8" w:color="auto"/>
            </w:tcBorders>
          </w:tcPr>
          <w:p>
            <w:pPr>
              <w:spacing w:after="0"/>
              <w:rPr>
                <w:sz w:val="2"/>
                <w:szCs w:val="2"/>
                <w:color w:val="auto"/>
              </w:rPr>
            </w:pPr>
          </w:p>
        </w:tc>
        <w:tc>
          <w:tcPr>
            <w:tcW w:w="660" w:type="dxa"/>
            <w:vAlign w:val="bottom"/>
            <w:tcBorders>
              <w:bottom w:val="single" w:sz="8" w:color="auto"/>
              <w:right w:val="single" w:sz="8" w:color="auto"/>
            </w:tcBorders>
          </w:tcPr>
          <w:p>
            <w:pPr>
              <w:spacing w:after="0"/>
              <w:rPr>
                <w:sz w:val="2"/>
                <w:szCs w:val="2"/>
                <w:color w:val="auto"/>
              </w:rPr>
            </w:pPr>
          </w:p>
        </w:tc>
        <w:tc>
          <w:tcPr>
            <w:tcW w:w="3160" w:type="dxa"/>
            <w:vAlign w:val="bottom"/>
            <w:tcBorders>
              <w:bottom w:val="single" w:sz="8" w:color="auto"/>
              <w:right w:val="single" w:sz="8" w:color="auto"/>
            </w:tcBorders>
          </w:tcPr>
          <w:p>
            <w:pPr>
              <w:spacing w:after="0"/>
              <w:rPr>
                <w:sz w:val="2"/>
                <w:szCs w:val="2"/>
                <w:color w:val="auto"/>
              </w:rPr>
            </w:pPr>
          </w:p>
        </w:tc>
        <w:tc>
          <w:tcPr>
            <w:tcW w:w="1460" w:type="dxa"/>
            <w:vAlign w:val="bottom"/>
            <w:tcBorders>
              <w:bottom w:val="single" w:sz="8" w:color="auto"/>
              <w:right w:val="single" w:sz="8" w:color="auto"/>
            </w:tcBorders>
          </w:tcPr>
          <w:p>
            <w:pPr>
              <w:spacing w:after="0"/>
              <w:rPr>
                <w:sz w:val="2"/>
                <w:szCs w:val="2"/>
                <w:color w:val="auto"/>
              </w:rPr>
            </w:pPr>
          </w:p>
        </w:tc>
        <w:tc>
          <w:tcPr>
            <w:tcW w:w="28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110" w:lineRule="exact"/>
        <w:rPr>
          <w:sz w:val="20"/>
          <w:szCs w:val="20"/>
          <w:color w:val="auto"/>
        </w:rPr>
      </w:pPr>
    </w:p>
    <w:p>
      <w:pPr>
        <w:jc w:val="both"/>
        <w:ind w:left="280" w:right="300" w:firstLine="209"/>
        <w:spacing w:after="0" w:line="309" w:lineRule="exact"/>
        <w:rPr>
          <w:sz w:val="20"/>
          <w:szCs w:val="20"/>
          <w:color w:val="auto"/>
        </w:rPr>
      </w:pPr>
      <w:r>
        <w:rPr>
          <w:rFonts w:ascii="宋体" w:cs="宋体" w:eastAsia="宋体" w:hAnsi="宋体"/>
          <w:sz w:val="20"/>
          <w:szCs w:val="20"/>
          <w:color w:val="0C0C0C"/>
        </w:rPr>
        <w:t>注：</w:t>
      </w:r>
      <w:r>
        <w:rPr>
          <w:rFonts w:ascii="MS PGothic" w:cs="MS PGothic" w:eastAsia="MS PGothic" w:hAnsi="MS PGothic"/>
          <w:sz w:val="20"/>
          <w:szCs w:val="20"/>
          <w:color w:val="0C0C0C"/>
        </w:rPr>
        <w:t>①</w:t>
      </w:r>
      <w:r>
        <w:rPr>
          <w:rFonts w:ascii="宋体" w:cs="宋体" w:eastAsia="宋体" w:hAnsi="宋体"/>
          <w:sz w:val="20"/>
          <w:szCs w:val="20"/>
          <w:color w:val="0C0C0C"/>
        </w:rPr>
        <w:t>城市规模划分标准依据《国务院关于调整城市规模划分标准的通知》（国发〔</w:t>
      </w:r>
      <w:r>
        <w:rPr>
          <w:rFonts w:ascii="Arial" w:cs="Arial" w:eastAsia="Arial" w:hAnsi="Arial"/>
          <w:sz w:val="20"/>
          <w:szCs w:val="20"/>
          <w:color w:val="0C0C0C"/>
        </w:rPr>
        <w:t>2014</w:t>
      </w:r>
      <w:r>
        <w:rPr>
          <w:rFonts w:ascii="宋体" w:cs="宋体" w:eastAsia="宋体" w:hAnsi="宋体"/>
          <w:sz w:val="20"/>
          <w:szCs w:val="20"/>
          <w:color w:val="0C0C0C"/>
        </w:rPr>
        <w:t>〕</w:t>
      </w:r>
      <w:r>
        <w:rPr>
          <w:rFonts w:ascii="Arial" w:cs="Arial" w:eastAsia="Arial" w:hAnsi="Arial"/>
          <w:sz w:val="20"/>
          <w:szCs w:val="20"/>
          <w:color w:val="0C0C0C"/>
        </w:rPr>
        <w:t xml:space="preserve"> 51 </w:t>
      </w:r>
      <w:r>
        <w:rPr>
          <w:rFonts w:ascii="宋体" w:cs="宋体" w:eastAsia="宋体" w:hAnsi="宋体"/>
          <w:sz w:val="20"/>
          <w:szCs w:val="20"/>
          <w:color w:val="0C0C0C"/>
        </w:rPr>
        <w:t>号）。城区常住人口</w:t>
      </w:r>
      <w:r>
        <w:rPr>
          <w:rFonts w:ascii="Arial" w:cs="Arial" w:eastAsia="Arial" w:hAnsi="Arial"/>
          <w:sz w:val="20"/>
          <w:szCs w:val="20"/>
          <w:color w:val="0C0C0C"/>
        </w:rPr>
        <w:t xml:space="preserve"> 50 </w:t>
      </w:r>
      <w:r>
        <w:rPr>
          <w:rFonts w:ascii="宋体" w:cs="宋体" w:eastAsia="宋体" w:hAnsi="宋体"/>
          <w:sz w:val="20"/>
          <w:szCs w:val="20"/>
          <w:color w:val="0C0C0C"/>
        </w:rPr>
        <w:t>万人以下的城市为小城市，城区常住人口</w:t>
      </w:r>
      <w:r>
        <w:rPr>
          <w:rFonts w:ascii="Arial" w:cs="Arial" w:eastAsia="Arial" w:hAnsi="Arial"/>
          <w:sz w:val="20"/>
          <w:szCs w:val="20"/>
          <w:color w:val="0C0C0C"/>
        </w:rPr>
        <w:t xml:space="preserve"> 50 </w:t>
      </w:r>
      <w:r>
        <w:rPr>
          <w:rFonts w:ascii="宋体" w:cs="宋体" w:eastAsia="宋体" w:hAnsi="宋体"/>
          <w:sz w:val="20"/>
          <w:szCs w:val="20"/>
          <w:color w:val="0C0C0C"/>
        </w:rPr>
        <w:t>万人以上</w:t>
      </w:r>
      <w:r>
        <w:rPr>
          <w:rFonts w:ascii="Arial" w:cs="Arial" w:eastAsia="Arial" w:hAnsi="Arial"/>
          <w:sz w:val="20"/>
          <w:szCs w:val="20"/>
          <w:color w:val="0C0C0C"/>
        </w:rPr>
        <w:t xml:space="preserve"> 100 </w:t>
      </w:r>
      <w:r>
        <w:rPr>
          <w:rFonts w:ascii="宋体" w:cs="宋体" w:eastAsia="宋体" w:hAnsi="宋体"/>
          <w:sz w:val="20"/>
          <w:szCs w:val="20"/>
          <w:color w:val="0C0C0C"/>
        </w:rPr>
        <w:t>万人以下的城市为中等城市，城区常住人口</w:t>
      </w:r>
      <w:r>
        <w:rPr>
          <w:rFonts w:ascii="Arial" w:cs="Arial" w:eastAsia="Arial" w:hAnsi="Arial"/>
          <w:sz w:val="20"/>
          <w:szCs w:val="20"/>
          <w:color w:val="0C0C0C"/>
        </w:rPr>
        <w:t xml:space="preserve"> 100 </w:t>
      </w:r>
      <w:r>
        <w:rPr>
          <w:rFonts w:ascii="宋体" w:cs="宋体" w:eastAsia="宋体" w:hAnsi="宋体"/>
          <w:sz w:val="20"/>
          <w:szCs w:val="20"/>
          <w:color w:val="0C0C0C"/>
        </w:rPr>
        <w:t>万人以上</w:t>
      </w:r>
      <w:r>
        <w:rPr>
          <w:rFonts w:ascii="Arial" w:cs="Arial" w:eastAsia="Arial" w:hAnsi="Arial"/>
          <w:sz w:val="20"/>
          <w:szCs w:val="20"/>
          <w:color w:val="0C0C0C"/>
        </w:rPr>
        <w:t xml:space="preserve"> 500 </w:t>
      </w:r>
      <w:r>
        <w:rPr>
          <w:rFonts w:ascii="宋体" w:cs="宋体" w:eastAsia="宋体" w:hAnsi="宋体"/>
          <w:sz w:val="20"/>
          <w:szCs w:val="20"/>
          <w:color w:val="0C0C0C"/>
        </w:rPr>
        <w:t>万人以下的城市为大城市，城区常住人</w:t>
      </w:r>
    </w:p>
    <w:p>
      <w:pPr>
        <w:spacing w:after="0" w:line="156" w:lineRule="exact"/>
        <w:rPr>
          <w:sz w:val="20"/>
          <w:szCs w:val="20"/>
          <w:color w:val="auto"/>
        </w:rPr>
      </w:pPr>
    </w:p>
    <w:p>
      <w:pPr>
        <w:ind w:left="280" w:right="300" w:firstLine="2"/>
        <w:spacing w:after="0" w:line="284" w:lineRule="exact"/>
        <w:tabs>
          <w:tab w:leader="none" w:pos="544" w:val="left"/>
        </w:tabs>
        <w:numPr>
          <w:ilvl w:val="0"/>
          <w:numId w:val="2"/>
        </w:numPr>
        <w:rPr>
          <w:rFonts w:ascii="宋体" w:cs="宋体" w:eastAsia="宋体" w:hAnsi="宋体"/>
          <w:sz w:val="21"/>
          <w:szCs w:val="21"/>
          <w:color w:val="0C0C0C"/>
        </w:rPr>
      </w:pPr>
      <w:r>
        <w:rPr>
          <w:rFonts w:ascii="Arial" w:cs="Arial" w:eastAsia="Arial" w:hAnsi="Arial"/>
          <w:sz w:val="21"/>
          <w:szCs w:val="21"/>
          <w:color w:val="0C0C0C"/>
        </w:rPr>
        <w:t xml:space="preserve">500 </w:t>
      </w:r>
      <w:r>
        <w:rPr>
          <w:rFonts w:ascii="宋体" w:cs="宋体" w:eastAsia="宋体" w:hAnsi="宋体"/>
          <w:sz w:val="21"/>
          <w:szCs w:val="21"/>
          <w:color w:val="0C0C0C"/>
        </w:rPr>
        <w:t>万人以上</w:t>
      </w:r>
      <w:r>
        <w:rPr>
          <w:rFonts w:ascii="Arial" w:cs="Arial" w:eastAsia="Arial" w:hAnsi="Arial"/>
          <w:sz w:val="21"/>
          <w:szCs w:val="21"/>
          <w:color w:val="0C0C0C"/>
        </w:rPr>
        <w:t xml:space="preserve"> 1000 </w:t>
      </w:r>
      <w:r>
        <w:rPr>
          <w:rFonts w:ascii="宋体" w:cs="宋体" w:eastAsia="宋体" w:hAnsi="宋体"/>
          <w:sz w:val="21"/>
          <w:szCs w:val="21"/>
          <w:color w:val="0C0C0C"/>
        </w:rPr>
        <w:t>万人以下的城市为特大城市，城区常住人口</w:t>
      </w:r>
      <w:r>
        <w:rPr>
          <w:rFonts w:ascii="Arial" w:cs="Arial" w:eastAsia="Arial" w:hAnsi="Arial"/>
          <w:sz w:val="21"/>
          <w:szCs w:val="21"/>
          <w:color w:val="0C0C0C"/>
        </w:rPr>
        <w:t xml:space="preserve"> 1000 </w:t>
      </w:r>
      <w:r>
        <w:rPr>
          <w:rFonts w:ascii="宋体" w:cs="宋体" w:eastAsia="宋体" w:hAnsi="宋体"/>
          <w:sz w:val="21"/>
          <w:szCs w:val="21"/>
          <w:color w:val="0C0C0C"/>
        </w:rPr>
        <w:t>万人以上的城市为超大城市。</w:t>
      </w:r>
    </w:p>
    <w:p>
      <w:pPr>
        <w:spacing w:after="0" w:line="154" w:lineRule="exact"/>
        <w:rPr>
          <w:sz w:val="20"/>
          <w:szCs w:val="20"/>
          <w:color w:val="auto"/>
        </w:rPr>
      </w:pPr>
    </w:p>
    <w:p>
      <w:pPr>
        <w:ind w:left="280" w:right="180" w:firstLine="209"/>
        <w:spacing w:after="0" w:line="309" w:lineRule="exact"/>
        <w:rPr>
          <w:sz w:val="20"/>
          <w:szCs w:val="20"/>
          <w:color w:val="auto"/>
        </w:rPr>
      </w:pPr>
      <w:r>
        <w:rPr>
          <w:rFonts w:ascii="MS PGothic" w:cs="MS PGothic" w:eastAsia="MS PGothic" w:hAnsi="MS PGothic"/>
          <w:sz w:val="21"/>
          <w:szCs w:val="21"/>
          <w:color w:val="0C0C0C"/>
        </w:rPr>
        <w:t>②</w:t>
      </w:r>
      <w:r>
        <w:rPr>
          <w:rFonts w:ascii="宋体" w:cs="宋体" w:eastAsia="宋体" w:hAnsi="宋体"/>
          <w:sz w:val="21"/>
          <w:szCs w:val="21"/>
          <w:color w:val="0C0C0C"/>
        </w:rPr>
        <w:t>根据《中共中央 国务院关于新时代推进西部大开发形成新格局的指导意见》，西部省（自治区、直辖市）包括：内蒙古、广西、重庆、四川、贵州、云南、西藏、陕西、甘肃、青海、宁夏和新疆。</w:t>
      </w:r>
    </w:p>
    <w:p>
      <w:pPr>
        <w:spacing w:after="0" w:line="122" w:lineRule="exact"/>
        <w:rPr>
          <w:sz w:val="20"/>
          <w:szCs w:val="20"/>
          <w:color w:val="auto"/>
        </w:rPr>
      </w:pPr>
    </w:p>
    <w:p>
      <w:pPr>
        <w:ind w:left="500"/>
        <w:spacing w:after="0" w:line="240" w:lineRule="exact"/>
        <w:rPr>
          <w:sz w:val="20"/>
          <w:szCs w:val="20"/>
          <w:color w:val="auto"/>
        </w:rPr>
      </w:pPr>
      <w:r>
        <w:rPr>
          <w:rFonts w:ascii="MS PGothic" w:cs="MS PGothic" w:eastAsia="MS PGothic" w:hAnsi="MS PGothic"/>
          <w:sz w:val="21"/>
          <w:szCs w:val="21"/>
          <w:color w:val="0C0C0C"/>
        </w:rPr>
        <w:t>③</w:t>
      </w:r>
      <w:r>
        <w:rPr>
          <w:rFonts w:ascii="宋体" w:cs="宋体" w:eastAsia="宋体" w:hAnsi="宋体"/>
          <w:sz w:val="21"/>
          <w:szCs w:val="21"/>
          <w:color w:val="0C0C0C"/>
        </w:rPr>
        <w:t>路网密度统计范围包括居住区内主要道路。</w:t>
      </w:r>
    </w:p>
    <w:p>
      <w:pPr>
        <w:spacing w:after="0" w:line="105" w:lineRule="exact"/>
        <w:rPr>
          <w:sz w:val="20"/>
          <w:szCs w:val="20"/>
          <w:color w:val="auto"/>
        </w:rPr>
      </w:pPr>
    </w:p>
    <w:p>
      <w:pPr>
        <w:ind w:left="500"/>
        <w:spacing w:after="0" w:line="255" w:lineRule="exact"/>
        <w:rPr>
          <w:sz w:val="20"/>
          <w:szCs w:val="20"/>
          <w:color w:val="auto"/>
        </w:rPr>
      </w:pPr>
      <w:r>
        <w:rPr>
          <w:rFonts w:ascii="MS PGothic" w:cs="MS PGothic" w:eastAsia="MS PGothic" w:hAnsi="MS PGothic"/>
          <w:sz w:val="21"/>
          <w:szCs w:val="21"/>
          <w:color w:val="0C0C0C"/>
        </w:rPr>
        <w:t>④</w:t>
      </w:r>
      <w:r>
        <w:rPr>
          <w:rFonts w:ascii="宋体" w:cs="宋体" w:eastAsia="宋体" w:hAnsi="宋体"/>
          <w:sz w:val="21"/>
          <w:szCs w:val="21"/>
          <w:color w:val="0C0C0C"/>
        </w:rPr>
        <w:t>带</w:t>
      </w:r>
      <w:r>
        <w:rPr>
          <w:rFonts w:ascii="Arial" w:cs="Arial" w:eastAsia="Arial" w:hAnsi="Arial"/>
          <w:sz w:val="21"/>
          <w:szCs w:val="21"/>
          <w:color w:val="0C0C0C"/>
        </w:rPr>
        <w:t>*</w:t>
      </w:r>
      <w:r>
        <w:rPr>
          <w:rFonts w:ascii="宋体" w:cs="宋体" w:eastAsia="宋体" w:hAnsi="宋体"/>
          <w:sz w:val="21"/>
          <w:szCs w:val="21"/>
          <w:color w:val="0C0C0C"/>
        </w:rPr>
        <w:t>的为</w:t>
      </w:r>
      <w:r>
        <w:rPr>
          <w:rFonts w:ascii="Arial" w:cs="Arial" w:eastAsia="Arial" w:hAnsi="Arial"/>
          <w:sz w:val="21"/>
          <w:szCs w:val="21"/>
          <w:color w:val="0C0C0C"/>
        </w:rPr>
        <w:t xml:space="preserve"> 2019 </w:t>
      </w:r>
      <w:r>
        <w:rPr>
          <w:rFonts w:ascii="宋体" w:cs="宋体" w:eastAsia="宋体" w:hAnsi="宋体"/>
          <w:sz w:val="21"/>
          <w:szCs w:val="21"/>
          <w:color w:val="0C0C0C"/>
        </w:rPr>
        <w:t>年数据。</w:t>
      </w:r>
    </w:p>
    <w:p>
      <w:pPr>
        <w:spacing w:after="0" w:line="105" w:lineRule="exact"/>
        <w:rPr>
          <w:sz w:val="20"/>
          <w:szCs w:val="20"/>
          <w:color w:val="auto"/>
        </w:rPr>
      </w:pPr>
    </w:p>
    <w:p>
      <w:pPr>
        <w:ind w:left="500"/>
        <w:spacing w:after="0" w:line="255" w:lineRule="exact"/>
        <w:rPr>
          <w:sz w:val="20"/>
          <w:szCs w:val="20"/>
          <w:color w:val="auto"/>
        </w:rPr>
      </w:pPr>
      <w:r>
        <w:rPr>
          <w:rFonts w:ascii="MS PGothic" w:cs="MS PGothic" w:eastAsia="MS PGothic" w:hAnsi="MS PGothic"/>
          <w:sz w:val="21"/>
          <w:szCs w:val="21"/>
          <w:color w:val="0C0C0C"/>
        </w:rPr>
        <w:t>⑤</w:t>
      </w:r>
      <w:r>
        <w:rPr>
          <w:rFonts w:ascii="宋体" w:cs="宋体" w:eastAsia="宋体" w:hAnsi="宋体"/>
          <w:sz w:val="21"/>
          <w:szCs w:val="21"/>
          <w:color w:val="0C0C0C"/>
        </w:rPr>
        <w:t>上述指标</w:t>
      </w:r>
      <w:r>
        <w:rPr>
          <w:rFonts w:ascii="Arial" w:cs="Arial" w:eastAsia="Arial" w:hAnsi="Arial"/>
          <w:sz w:val="21"/>
          <w:szCs w:val="21"/>
          <w:color w:val="0C0C0C"/>
        </w:rPr>
        <w:t xml:space="preserve"> 2025 </w:t>
      </w:r>
      <w:r>
        <w:rPr>
          <w:rFonts w:ascii="宋体" w:cs="宋体" w:eastAsia="宋体" w:hAnsi="宋体"/>
          <w:sz w:val="21"/>
          <w:szCs w:val="21"/>
          <w:color w:val="0C0C0C"/>
        </w:rPr>
        <w:t>年目标值均为预期性。</w:t>
      </w:r>
    </w:p>
    <w:p>
      <w:pPr>
        <w:spacing w:after="0" w:line="195" w:lineRule="exact"/>
        <w:rPr>
          <w:sz w:val="20"/>
          <w:szCs w:val="20"/>
          <w:color w:val="auto"/>
        </w:rPr>
      </w:pPr>
    </w:p>
    <w:p>
      <w:pPr>
        <w:ind w:left="920"/>
        <w:spacing w:after="0" w:line="366" w:lineRule="exact"/>
        <w:rPr>
          <w:sz w:val="20"/>
          <w:szCs w:val="20"/>
          <w:color w:val="auto"/>
        </w:rPr>
      </w:pPr>
      <w:r>
        <w:rPr>
          <w:rFonts w:ascii="黑体" w:cs="黑体" w:eastAsia="黑体" w:hAnsi="黑体"/>
          <w:sz w:val="32"/>
          <w:szCs w:val="32"/>
          <w:color w:val="auto"/>
        </w:rPr>
        <w:t>三、重点任务</w:t>
      </w:r>
    </w:p>
    <w:p>
      <w:pPr>
        <w:spacing w:after="0" w:line="262" w:lineRule="exact"/>
        <w:rPr>
          <w:sz w:val="20"/>
          <w:szCs w:val="20"/>
          <w:color w:val="auto"/>
        </w:rPr>
      </w:pPr>
    </w:p>
    <w:p>
      <w:pPr>
        <w:jc w:val="both"/>
        <w:ind w:left="280" w:right="300" w:firstLine="638"/>
        <w:spacing w:after="0" w:line="451" w:lineRule="exact"/>
        <w:rPr>
          <w:sz w:val="20"/>
          <w:szCs w:val="20"/>
          <w:color w:val="auto"/>
        </w:rPr>
      </w:pPr>
      <w:r>
        <w:rPr>
          <w:rFonts w:ascii="宋体" w:cs="宋体" w:eastAsia="宋体" w:hAnsi="宋体"/>
          <w:sz w:val="32"/>
          <w:szCs w:val="32"/>
          <w:color w:val="auto"/>
        </w:rPr>
        <w:t>（一）推进城市基础设施体系化建设，增强城市安全韧性能力。</w:t>
      </w:r>
    </w:p>
    <w:p>
      <w:pPr>
        <w:spacing w:after="0" w:line="266" w:lineRule="exact"/>
        <w:rPr>
          <w:sz w:val="20"/>
          <w:szCs w:val="20"/>
          <w:color w:val="auto"/>
        </w:rPr>
      </w:pPr>
    </w:p>
    <w:p>
      <w:pPr>
        <w:jc w:val="both"/>
        <w:ind w:left="280" w:right="300" w:firstLine="638"/>
        <w:spacing w:after="0" w:line="547"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统筹实施城市基础设施建设规划。系统编制涵盖城市交通、水、能源、环境卫生、园林绿化、信息通信、广播电视等系统的城市基础设施建设规划，统筹布局、集约建设，有序引导项目实施，科学指导城市基础设施各子系统规划编制，健全规划衔接协调机制。科学制定城市基础设施近期建设计划，项目实施中，依法履行城乡规划建设相关程序，做好环境影响评价，合理有序安排各类城市基础设施建设项目，落实责任主体和资金安排。</w:t>
      </w:r>
    </w:p>
    <w:p>
      <w:pPr>
        <w:spacing w:after="0" w:line="265" w:lineRule="exact"/>
        <w:rPr>
          <w:sz w:val="20"/>
          <w:szCs w:val="20"/>
          <w:color w:val="auto"/>
        </w:rPr>
      </w:pPr>
    </w:p>
    <w:p>
      <w:pPr>
        <w:jc w:val="both"/>
        <w:ind w:left="280" w:right="160" w:firstLine="638"/>
        <w:spacing w:after="0" w:line="492" w:lineRule="exact"/>
        <w:rPr>
          <w:sz w:val="20"/>
          <w:szCs w:val="20"/>
          <w:color w:val="auto"/>
        </w:rPr>
      </w:pPr>
      <w:r>
        <w:rPr>
          <w:rFonts w:ascii="Arial" w:cs="Arial" w:eastAsia="Arial" w:hAnsi="Arial"/>
          <w:sz w:val="31"/>
          <w:szCs w:val="31"/>
          <w:color w:val="auto"/>
        </w:rPr>
        <w:t>2.</w:t>
      </w:r>
      <w:r>
        <w:rPr>
          <w:rFonts w:ascii="宋体" w:cs="宋体" w:eastAsia="宋体" w:hAnsi="宋体"/>
          <w:sz w:val="31"/>
          <w:szCs w:val="31"/>
          <w:color w:val="auto"/>
        </w:rPr>
        <w:t>系统提升城市基础设施供给能力。从人民群众实际生活需求出发，针对城市基础设施存在的突出短板问题，系统提升城市基础设施供给能力和服务质量。完善城市交通基础设施，</w:t>
      </w:r>
    </w:p>
    <w:p>
      <w:pPr>
        <w:sectPr>
          <w:pgSz w:w="11900" w:h="16838" w:orient="portrait"/>
          <w:cols w:equalWidth="0" w:num="1">
            <w:col w:w="9080"/>
          </w:cols>
          <w:pgMar w:left="1420" w:top="1440" w:right="1406" w:bottom="666" w:gutter="0" w:footer="0" w:header="0"/>
        </w:sectPr>
      </w:pPr>
    </w:p>
    <w:p>
      <w:pPr>
        <w:spacing w:after="0" w:line="200" w:lineRule="exact"/>
        <w:rPr>
          <w:sz w:val="20"/>
          <w:szCs w:val="20"/>
          <w:color w:val="auto"/>
        </w:rPr>
      </w:pPr>
    </w:p>
    <w:p>
      <w:pPr>
        <w:spacing w:after="0" w:line="28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6</w:t>
      </w:r>
    </w:p>
    <w:p>
      <w:pPr>
        <w:sectPr>
          <w:pgSz w:w="11900" w:h="16838" w:orient="portrait"/>
          <w:cols w:equalWidth="0" w:num="1">
            <w:col w:w="9080"/>
          </w:cols>
          <w:pgMar w:left="1420" w:top="1440" w:right="1406" w:bottom="666" w:gutter="0" w:footer="0" w:header="0"/>
          <w:type w:val="continuous"/>
        </w:sectPr>
      </w:pPr>
    </w:p>
    <w:bookmarkStart w:id="6" w:name="page7"/>
    <w:bookmarkEnd w:id="6"/>
    <w:p>
      <w:pPr>
        <w:spacing w:after="0" w:line="200" w:lineRule="exact"/>
        <w:rPr>
          <w:sz w:val="20"/>
          <w:szCs w:val="20"/>
          <w:color w:val="auto"/>
        </w:rPr>
      </w:pPr>
    </w:p>
    <w:p>
      <w:pPr>
        <w:spacing w:after="0" w:line="253" w:lineRule="exact"/>
        <w:rPr>
          <w:sz w:val="20"/>
          <w:szCs w:val="20"/>
          <w:color w:val="auto"/>
        </w:rPr>
      </w:pPr>
    </w:p>
    <w:p>
      <w:pPr>
        <w:jc w:val="both"/>
        <w:ind w:left="260" w:right="266"/>
        <w:spacing w:after="0" w:line="542" w:lineRule="exact"/>
        <w:rPr>
          <w:sz w:val="20"/>
          <w:szCs w:val="20"/>
          <w:color w:val="auto"/>
        </w:rPr>
      </w:pPr>
      <w:r>
        <w:rPr>
          <w:rFonts w:ascii="宋体" w:cs="宋体" w:eastAsia="宋体" w:hAnsi="宋体"/>
          <w:sz w:val="32"/>
          <w:szCs w:val="32"/>
          <w:color w:val="auto"/>
        </w:rPr>
        <w:t>科学规划建设城市综合交通系统，加快发展快速干线交通、生活性集散交通、绿色慢行交通，实现顺畅衔接，提高居民出行效率和城市运转保障能力。持续提升供水安全保障能力、提高城镇管道燃气普及率、集中供热能力和服务面积。适度超前建设城市配电网，满足城市电力负荷增长需求。加快新一代信息通信基础设施建设。健全无障碍设施体系。完善城市物流配送体系。</w:t>
      </w:r>
    </w:p>
    <w:p>
      <w:pPr>
        <w:spacing w:after="0" w:line="271" w:lineRule="exact"/>
        <w:rPr>
          <w:sz w:val="20"/>
          <w:szCs w:val="20"/>
          <w:color w:val="auto"/>
        </w:rPr>
      </w:pPr>
    </w:p>
    <w:p>
      <w:pPr>
        <w:jc w:val="both"/>
        <w:ind w:left="260" w:right="266" w:firstLine="638"/>
        <w:spacing w:after="0" w:line="564" w:lineRule="exact"/>
        <w:rPr>
          <w:sz w:val="20"/>
          <w:szCs w:val="20"/>
          <w:color w:val="auto"/>
        </w:rPr>
      </w:pPr>
      <w:r>
        <w:rPr>
          <w:rFonts w:ascii="Arial" w:cs="Arial" w:eastAsia="Arial" w:hAnsi="Arial"/>
          <w:sz w:val="31"/>
          <w:szCs w:val="31"/>
          <w:color w:val="0C0C0C"/>
        </w:rPr>
        <w:t>3.</w:t>
      </w:r>
      <w:r>
        <w:rPr>
          <w:rFonts w:ascii="宋体" w:cs="宋体" w:eastAsia="宋体" w:hAnsi="宋体"/>
          <w:sz w:val="31"/>
          <w:szCs w:val="31"/>
          <w:color w:val="0C0C0C"/>
        </w:rPr>
        <w:t>持续增强城市基础设施安全韧</w:t>
      </w:r>
      <w:r>
        <w:rPr>
          <w:rFonts w:ascii="宋体" w:cs="宋体" w:eastAsia="宋体" w:hAnsi="宋体"/>
          <w:sz w:val="31"/>
          <w:szCs w:val="31"/>
          <w:color w:val="000000"/>
        </w:rPr>
        <w:t>性能力。全面提升城市各类基础设施的防灾、减灾、抗灾、应急救灾能力和极端条件下城市重要基础设施快速恢复能力、关键部位综合防护能力。推进城市市政基础设施普查，摸清底数，找准短板。新城区结合组团式城市布局，推进分布式水、电、气、热等城市基础设施建设。健全地下基础设施统筹规划、建设和管理机制，逐步对老旧基础设施进行更新改造，及时排查和消除安全隐患。提升关键交通基础设施安全防护能力，强化设施养护和运行监测检测，提高城市交通设施耐久性和可靠性。因地制宜推进地下综合管廊系统建设，提高管线建设体系化水平和安全运行保障能力，在城市老旧管网改造等工作中协同推进综合管廊建设。鼓励使用新技术、新工艺、新材料，提高基础设施抗震能力。加强城市内涝治理，建设源头减排、管网排放、蓄排并举、超标应急的城市排水防涝工程体系，增强城市防洪排涝能力。推动城市储气调峰能力建设，完善天然气调峰、应急和安全保障机制。鼓励城市内热网联通、热源相互支持，保障供热安全。开</w:t>
      </w:r>
    </w:p>
    <w:p>
      <w:pPr>
        <w:sectPr>
          <w:pgSz w:w="11900" w:h="16838" w:orient="portrait"/>
          <w:cols w:equalWidth="0" w:num="1">
            <w:col w:w="9026"/>
          </w:cols>
          <w:pgMar w:left="1440" w:top="1440" w:right="1440" w:bottom="666" w:gutter="0" w:footer="0" w:header="0"/>
        </w:sectPr>
      </w:pPr>
    </w:p>
    <w:p>
      <w:pPr>
        <w:spacing w:after="0" w:line="200" w:lineRule="exact"/>
        <w:rPr>
          <w:sz w:val="20"/>
          <w:szCs w:val="20"/>
          <w:color w:val="auto"/>
        </w:rPr>
      </w:pPr>
    </w:p>
    <w:p>
      <w:pPr>
        <w:spacing w:after="0" w:line="208"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0"/>
          <w:szCs w:val="20"/>
          <w:color w:val="auto"/>
        </w:rPr>
        <w:t>7</w:t>
      </w:r>
    </w:p>
    <w:p>
      <w:pPr>
        <w:sectPr>
          <w:pgSz w:w="11900" w:h="16838" w:orient="portrait"/>
          <w:cols w:equalWidth="0" w:num="1">
            <w:col w:w="9026"/>
          </w:cols>
          <w:pgMar w:left="1440" w:top="1440" w:right="1440" w:bottom="666" w:gutter="0" w:footer="0" w:header="0"/>
          <w:type w:val="continuous"/>
        </w:sectPr>
      </w:pPr>
    </w:p>
    <w:bookmarkStart w:id="7" w:name="page8"/>
    <w:bookmarkEnd w:id="7"/>
    <w:p>
      <w:pPr>
        <w:spacing w:after="0" w:line="200" w:lineRule="exact"/>
        <w:rPr>
          <w:sz w:val="20"/>
          <w:szCs w:val="20"/>
          <w:color w:val="auto"/>
        </w:rPr>
      </w:pPr>
    </w:p>
    <w:p>
      <w:pPr>
        <w:spacing w:after="0" w:line="253" w:lineRule="exact"/>
        <w:rPr>
          <w:sz w:val="20"/>
          <w:szCs w:val="20"/>
          <w:color w:val="auto"/>
        </w:rPr>
      </w:pPr>
    </w:p>
    <w:p>
      <w:pPr>
        <w:ind w:left="260" w:right="86"/>
        <w:spacing w:after="0" w:line="448" w:lineRule="exact"/>
        <w:rPr>
          <w:sz w:val="20"/>
          <w:szCs w:val="20"/>
          <w:color w:val="auto"/>
        </w:rPr>
      </w:pPr>
      <w:r>
        <w:rPr>
          <w:rFonts w:ascii="宋体" w:cs="宋体" w:eastAsia="宋体" w:hAnsi="宋体"/>
          <w:sz w:val="30"/>
          <w:szCs w:val="30"/>
          <w:color w:val="auto"/>
        </w:rPr>
        <w:t>展城市配电网升级改造，切实提高供应保障能力。对城市安全风险进行源头管控、过程监测、预报预警、应急处置和综合治理。</w:t>
      </w:r>
    </w:p>
    <w:p>
      <w:pPr>
        <w:spacing w:after="0" w:line="264" w:lineRule="exact"/>
        <w:rPr>
          <w:sz w:val="20"/>
          <w:szCs w:val="20"/>
          <w:color w:val="auto"/>
        </w:rPr>
      </w:pPr>
    </w:p>
    <w:p>
      <w:pPr>
        <w:jc w:val="both"/>
        <w:ind w:left="260" w:right="266" w:firstLine="638"/>
        <w:spacing w:after="0" w:line="542" w:lineRule="exact"/>
        <w:rPr>
          <w:sz w:val="20"/>
          <w:szCs w:val="20"/>
          <w:color w:val="auto"/>
        </w:rPr>
      </w:pPr>
      <w:r>
        <w:rPr>
          <w:rFonts w:ascii="Arial" w:cs="Arial" w:eastAsia="Arial" w:hAnsi="Arial"/>
          <w:sz w:val="31"/>
          <w:szCs w:val="31"/>
          <w:color w:val="auto"/>
        </w:rPr>
        <w:t>4.</w:t>
      </w:r>
      <w:r>
        <w:rPr>
          <w:rFonts w:ascii="宋体" w:cs="宋体" w:eastAsia="宋体" w:hAnsi="宋体"/>
          <w:sz w:val="31"/>
          <w:szCs w:val="31"/>
          <w:color w:val="auto"/>
        </w:rPr>
        <w:t>全面提高城市基础设施运行效率。提升交通衔接便捷性和轨道覆盖通勤出行比例；提高城市道路网密度，提高道路网整体运行效率；完善城镇老旧小区停车设施，改善道路交通动静态匹配关系。降低城市供水管网漏损，推进城市排水管网建设改造，巩固地级及以上城市黑臭水体治理成效，推进县级市黑臭水体治理。加快垃圾分类及处置设施建设。降低供热管网热损失率和单位建筑面积集中供热能耗，提升清洁取暖率。</w:t>
      </w:r>
    </w:p>
    <w:p>
      <w:pPr>
        <w:spacing w:after="0" w:line="273" w:lineRule="exact"/>
        <w:rPr>
          <w:sz w:val="20"/>
          <w:szCs w:val="20"/>
          <w:color w:val="auto"/>
        </w:rPr>
      </w:pPr>
    </w:p>
    <w:p>
      <w:pPr>
        <w:ind w:left="260" w:right="106" w:firstLine="638"/>
        <w:spacing w:after="0" w:line="542" w:lineRule="exact"/>
        <w:rPr>
          <w:sz w:val="20"/>
          <w:szCs w:val="20"/>
          <w:color w:val="auto"/>
        </w:rPr>
      </w:pPr>
      <w:r>
        <w:rPr>
          <w:rFonts w:ascii="Arial" w:cs="Arial" w:eastAsia="Arial" w:hAnsi="Arial"/>
          <w:sz w:val="32"/>
          <w:szCs w:val="32"/>
          <w:color w:val="auto"/>
        </w:rPr>
        <w:t>5.</w:t>
      </w:r>
      <w:r>
        <w:rPr>
          <w:rFonts w:ascii="宋体" w:cs="宋体" w:eastAsia="宋体" w:hAnsi="宋体"/>
          <w:sz w:val="32"/>
          <w:szCs w:val="32"/>
          <w:color w:val="auto"/>
        </w:rPr>
        <w:t>推进城市基础设施协同建设。落实</w:t>
      </w:r>
      <w:r>
        <w:rPr>
          <w:rFonts w:ascii="Arial" w:cs="Arial" w:eastAsia="Arial" w:hAnsi="Arial"/>
          <w:sz w:val="32"/>
          <w:szCs w:val="32"/>
          <w:color w:val="auto"/>
        </w:rPr>
        <w:t>“</w:t>
      </w:r>
      <w:r>
        <w:rPr>
          <w:rFonts w:ascii="宋体" w:cs="宋体" w:eastAsia="宋体" w:hAnsi="宋体"/>
          <w:sz w:val="32"/>
          <w:szCs w:val="32"/>
          <w:color w:val="auto"/>
        </w:rPr>
        <w:t>全生命周期管理</w:t>
      </w:r>
      <w:r>
        <w:rPr>
          <w:rFonts w:ascii="Arial" w:cs="Arial" w:eastAsia="Arial" w:hAnsi="Arial"/>
          <w:sz w:val="32"/>
          <w:szCs w:val="32"/>
          <w:color w:val="auto"/>
        </w:rPr>
        <w:t>”</w:t>
      </w:r>
      <w:r>
        <w:rPr>
          <w:rFonts w:ascii="宋体" w:cs="宋体" w:eastAsia="宋体" w:hAnsi="宋体"/>
          <w:sz w:val="32"/>
          <w:szCs w:val="32"/>
          <w:color w:val="auto"/>
        </w:rPr>
        <w:t>理念，构建城市基础设施规划、建设、运行维护、更新等各环节的统筹建设发展机制，促进提升城市的整体性、系统性、生长性。在统一规划的前提下，提升城市基础设施建设的协同性。整体安排地上地下设施建设，以轨道交通、城市道路为中心推进城市线性空间一体化发展。加强各类地下工程的统筹建设与有效衔接，科学实施地下空间分层管控。</w:t>
      </w:r>
    </w:p>
    <w:p>
      <w:pPr>
        <w:spacing w:after="0" w:line="272" w:lineRule="exact"/>
        <w:rPr>
          <w:sz w:val="20"/>
          <w:szCs w:val="20"/>
          <w:color w:val="auto"/>
        </w:rPr>
      </w:pPr>
    </w:p>
    <w:p>
      <w:pPr>
        <w:jc w:val="both"/>
        <w:ind w:left="260" w:right="266" w:firstLine="638"/>
        <w:spacing w:after="0" w:line="449" w:lineRule="exact"/>
        <w:rPr>
          <w:sz w:val="20"/>
          <w:szCs w:val="20"/>
          <w:color w:val="auto"/>
        </w:rPr>
      </w:pPr>
      <w:r>
        <w:rPr>
          <w:rFonts w:ascii="宋体" w:cs="宋体" w:eastAsia="宋体" w:hAnsi="宋体"/>
          <w:sz w:val="32"/>
          <w:szCs w:val="32"/>
          <w:color w:val="auto"/>
        </w:rPr>
        <w:t>（二）推动城市基础设施共建共享，促进形成区域与城乡协调发展新格局。</w:t>
      </w:r>
    </w:p>
    <w:p>
      <w:pPr>
        <w:spacing w:after="0" w:line="267" w:lineRule="exact"/>
        <w:rPr>
          <w:sz w:val="20"/>
          <w:szCs w:val="20"/>
          <w:color w:val="auto"/>
        </w:rPr>
      </w:pPr>
    </w:p>
    <w:p>
      <w:pPr>
        <w:jc w:val="both"/>
        <w:ind w:left="260" w:right="266" w:firstLine="638"/>
        <w:spacing w:after="0" w:line="527" w:lineRule="exact"/>
        <w:rPr>
          <w:sz w:val="20"/>
          <w:szCs w:val="20"/>
          <w:color w:val="auto"/>
        </w:rPr>
      </w:pPr>
      <w:r>
        <w:rPr>
          <w:rFonts w:ascii="Arial" w:cs="Arial" w:eastAsia="Arial" w:hAnsi="Arial"/>
          <w:sz w:val="31"/>
          <w:szCs w:val="31"/>
          <w:color w:val="0C0C0C"/>
        </w:rPr>
        <w:t>1.</w:t>
      </w:r>
      <w:r>
        <w:rPr>
          <w:rFonts w:ascii="宋体" w:cs="宋体" w:eastAsia="宋体" w:hAnsi="宋体"/>
          <w:sz w:val="31"/>
          <w:szCs w:val="31"/>
          <w:color w:val="0C0C0C"/>
        </w:rPr>
        <w:t>强化区域基础设施互联互通。</w:t>
      </w:r>
      <w:r>
        <w:rPr>
          <w:rFonts w:ascii="宋体" w:cs="宋体" w:eastAsia="宋体" w:hAnsi="宋体"/>
          <w:sz w:val="31"/>
          <w:szCs w:val="31"/>
          <w:color w:val="000000"/>
        </w:rPr>
        <w:t>以京津冀协同发展、长江经济带发展、粤港澳大湾区建设、长三角一体化发展、黄河流域生态保护和高质量发展等区域重大战略为引领，加快基础设施跨区域共建共享、协调互动，加强中心城市辐射带动周边地区协同发展。建立区域基础设施建设重大事项、重大项目共商</w:t>
      </w:r>
    </w:p>
    <w:p>
      <w:pPr>
        <w:sectPr>
          <w:pgSz w:w="11900" w:h="16838" w:orient="portrait"/>
          <w:cols w:equalWidth="0" w:num="1">
            <w:col w:w="9026"/>
          </w:cols>
          <w:pgMar w:left="1440" w:top="1440" w:right="1440" w:bottom="666" w:gutter="0" w:footer="0" w:header="0"/>
        </w:sectPr>
      </w:pPr>
    </w:p>
    <w:p>
      <w:pPr>
        <w:spacing w:after="0" w:line="200" w:lineRule="exact"/>
        <w:rPr>
          <w:sz w:val="20"/>
          <w:szCs w:val="20"/>
          <w:color w:val="auto"/>
        </w:rPr>
      </w:pPr>
    </w:p>
    <w:p>
      <w:pPr>
        <w:spacing w:after="0" w:line="205"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0"/>
          <w:szCs w:val="20"/>
          <w:color w:val="auto"/>
        </w:rPr>
        <w:t>8</w:t>
      </w:r>
    </w:p>
    <w:p>
      <w:pPr>
        <w:sectPr>
          <w:pgSz w:w="11900" w:h="16838" w:orient="portrait"/>
          <w:cols w:equalWidth="0" w:num="1">
            <w:col w:w="9026"/>
          </w:cols>
          <w:pgMar w:left="1440" w:top="1440" w:right="1440" w:bottom="666" w:gutter="0" w:footer="0" w:header="0"/>
          <w:type w:val="continuous"/>
        </w:sectPr>
      </w:pPr>
    </w:p>
    <w:bookmarkStart w:id="8" w:name="page9"/>
    <w:bookmarkEnd w:id="8"/>
    <w:p>
      <w:pPr>
        <w:spacing w:after="0" w:line="200" w:lineRule="exact"/>
        <w:rPr>
          <w:sz w:val="20"/>
          <w:szCs w:val="20"/>
          <w:color w:val="auto"/>
        </w:rPr>
      </w:pPr>
    </w:p>
    <w:p>
      <w:pPr>
        <w:spacing w:after="0" w:line="205"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机制。强化区域性突发事件的应急救援处置。</w:t>
      </w:r>
    </w:p>
    <w:p>
      <w:pPr>
        <w:spacing w:after="0" w:line="193"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0C0C0C"/>
        </w:rPr>
        <w:t>2.</w:t>
      </w:r>
      <w:r>
        <w:rPr>
          <w:rFonts w:ascii="宋体" w:cs="宋体" w:eastAsia="宋体" w:hAnsi="宋体"/>
          <w:sz w:val="32"/>
          <w:szCs w:val="32"/>
          <w:color w:val="0C0C0C"/>
        </w:rPr>
        <w:t>推动城市群都市圈基础设施一体化发展。</w:t>
      </w:r>
      <w:r>
        <w:rPr>
          <w:rFonts w:ascii="宋体" w:cs="宋体" w:eastAsia="宋体" w:hAnsi="宋体"/>
          <w:sz w:val="32"/>
          <w:szCs w:val="32"/>
          <w:color w:val="000000"/>
        </w:rPr>
        <w:t>统筹规划建设</w:t>
      </w:r>
    </w:p>
    <w:p>
      <w:pPr>
        <w:spacing w:after="0" w:line="262" w:lineRule="exact"/>
        <w:rPr>
          <w:sz w:val="20"/>
          <w:szCs w:val="20"/>
          <w:color w:val="auto"/>
        </w:rPr>
      </w:pPr>
    </w:p>
    <w:p>
      <w:pPr>
        <w:ind w:left="260" w:right="106"/>
        <w:spacing w:after="0" w:line="527" w:lineRule="exact"/>
        <w:rPr>
          <w:sz w:val="20"/>
          <w:szCs w:val="20"/>
          <w:color w:val="auto"/>
        </w:rPr>
      </w:pPr>
      <w:r>
        <w:rPr>
          <w:rFonts w:ascii="宋体" w:cs="宋体" w:eastAsia="宋体" w:hAnsi="宋体"/>
          <w:sz w:val="32"/>
          <w:szCs w:val="32"/>
          <w:color w:val="auto"/>
        </w:rPr>
        <w:t>区域交通、水、能源、环卫、园林、信息等重大基础设施布局，协同建设区域生态网络和绿道体系，促进基础设施互联互通、共建共享。支持超大、特大城市为中心的重点都市圈织密以城市轨道交通和市域（郊）铁路为骨干的轨道交通网络，促进中心城市与周边城市（镇）一体化发展。</w:t>
      </w:r>
    </w:p>
    <w:p>
      <w:pPr>
        <w:spacing w:after="0" w:line="271" w:lineRule="exact"/>
        <w:rPr>
          <w:sz w:val="20"/>
          <w:szCs w:val="20"/>
          <w:color w:val="auto"/>
        </w:rPr>
      </w:pPr>
    </w:p>
    <w:p>
      <w:pPr>
        <w:ind w:left="260" w:right="126" w:firstLine="638"/>
        <w:spacing w:after="0" w:line="546" w:lineRule="exact"/>
        <w:rPr>
          <w:sz w:val="20"/>
          <w:szCs w:val="20"/>
          <w:color w:val="auto"/>
        </w:rPr>
      </w:pPr>
      <w:r>
        <w:rPr>
          <w:rFonts w:ascii="Arial" w:cs="Arial" w:eastAsia="Arial" w:hAnsi="Arial"/>
          <w:sz w:val="32"/>
          <w:szCs w:val="32"/>
          <w:color w:val="0C0C0C"/>
        </w:rPr>
        <w:t>3.</w:t>
      </w:r>
      <w:r>
        <w:rPr>
          <w:rFonts w:ascii="宋体" w:cs="宋体" w:eastAsia="宋体" w:hAnsi="宋体"/>
          <w:sz w:val="32"/>
          <w:szCs w:val="32"/>
          <w:color w:val="0C0C0C"/>
        </w:rPr>
        <w:t>统筹城乡基础设施建设。</w:t>
      </w:r>
      <w:r>
        <w:rPr>
          <w:rFonts w:ascii="宋体" w:cs="宋体" w:eastAsia="宋体" w:hAnsi="宋体"/>
          <w:sz w:val="32"/>
          <w:szCs w:val="32"/>
          <w:color w:val="000000"/>
        </w:rPr>
        <w:t>构建覆盖城乡的基础设施体系以及生态网络体系，促进城乡基础设施的衔接配套建设，提高一体化监管能力。推动联接城市中心区、县城、镇之间公路完善升级，城市燃气管网延伸布局，农村电网基础设施升级，农宅清洁取暖改造，城乡垃圾集中处置等，鼓励有条件的地区推行城乡统筹区域供水。推进以县城为重要载体的城镇化建设，有条件的地区按照小城市标准建设县城，加快县城基础设施补短板强弱项。</w:t>
      </w:r>
    </w:p>
    <w:p>
      <w:pPr>
        <w:spacing w:after="0" w:line="228"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（三）完善城市生态基础设施体系，推动城市绿色低碳发</w:t>
      </w:r>
    </w:p>
    <w:p>
      <w:pPr>
        <w:spacing w:after="0" w:line="221"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展。</w:t>
      </w:r>
    </w:p>
    <w:p>
      <w:pPr>
        <w:spacing w:after="0" w:line="245" w:lineRule="exact"/>
        <w:rPr>
          <w:sz w:val="20"/>
          <w:szCs w:val="20"/>
          <w:color w:val="auto"/>
        </w:rPr>
      </w:pPr>
    </w:p>
    <w:p>
      <w:pPr>
        <w:ind w:left="260" w:right="106" w:firstLine="638"/>
        <w:spacing w:after="0" w:line="51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构建连续完整的城市生态基础设施体系。加强城市自然生境保护，提高自然生态系统健康活力，建设蓝绿交织、灰绿相融、连续完整的城市生态基础设施体系。采用自然解决方案，合理确定城市生态基础设施规模、结构和布局，提高蓝绿空间总量和生态廊道网络化水平，使城市内外的生态环境有机连接，形成与资源环境承载力相匹配的山水城理想空间格局。</w:t>
      </w:r>
    </w:p>
    <w:p>
      <w:pPr>
        <w:sectPr>
          <w:pgSz w:w="11900" w:h="16838" w:orient="portrait"/>
          <w:cols w:equalWidth="0" w:num="1">
            <w:col w:w="9026"/>
          </w:cols>
          <w:pgMar w:left="1440" w:top="1440" w:right="1440" w:bottom="666" w:gutter="0" w:footer="0" w:header="0"/>
        </w:sectPr>
      </w:pPr>
    </w:p>
    <w:p>
      <w:pPr>
        <w:spacing w:after="0" w:line="200" w:lineRule="exact"/>
        <w:rPr>
          <w:sz w:val="20"/>
          <w:szCs w:val="20"/>
          <w:color w:val="auto"/>
        </w:rPr>
      </w:pPr>
    </w:p>
    <w:p>
      <w:pPr>
        <w:spacing w:after="0" w:line="328"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0"/>
          <w:szCs w:val="20"/>
          <w:color w:val="auto"/>
        </w:rPr>
        <w:t>9</w:t>
      </w:r>
    </w:p>
    <w:p>
      <w:pPr>
        <w:sectPr>
          <w:pgSz w:w="11900" w:h="16838" w:orient="portrait"/>
          <w:cols w:equalWidth="0" w:num="1">
            <w:col w:w="9026"/>
          </w:cols>
          <w:pgMar w:left="1440" w:top="1440" w:right="1440" w:bottom="666" w:gutter="0" w:footer="0" w:header="0"/>
          <w:type w:val="continuous"/>
        </w:sectPr>
      </w:pPr>
    </w:p>
    <w:bookmarkStart w:id="9" w:name="page10"/>
    <w:bookmarkEnd w:id="9"/>
    <w:p>
      <w:pPr>
        <w:spacing w:after="0" w:line="200" w:lineRule="exact"/>
        <w:rPr>
          <w:sz w:val="20"/>
          <w:szCs w:val="20"/>
          <w:color w:val="auto"/>
        </w:rPr>
      </w:pPr>
    </w:p>
    <w:p>
      <w:pPr>
        <w:spacing w:after="0" w:line="236" w:lineRule="exact"/>
        <w:rPr>
          <w:sz w:val="20"/>
          <w:szCs w:val="20"/>
          <w:color w:val="auto"/>
        </w:rPr>
      </w:pPr>
    </w:p>
    <w:p>
      <w:pPr>
        <w:ind w:left="260" w:right="106" w:firstLine="638"/>
        <w:spacing w:after="0" w:line="518" w:lineRule="exact"/>
        <w:rPr>
          <w:sz w:val="20"/>
          <w:szCs w:val="20"/>
          <w:color w:val="auto"/>
        </w:rPr>
      </w:pPr>
      <w:r>
        <w:rPr>
          <w:rFonts w:ascii="Arial" w:cs="Arial" w:eastAsia="Arial" w:hAnsi="Arial"/>
          <w:sz w:val="30"/>
          <w:szCs w:val="30"/>
          <w:color w:val="0C0C0C"/>
        </w:rPr>
        <w:t>2.</w:t>
      </w:r>
      <w:r>
        <w:rPr>
          <w:rFonts w:ascii="宋体" w:cs="宋体" w:eastAsia="宋体" w:hAnsi="宋体"/>
          <w:sz w:val="30"/>
          <w:szCs w:val="30"/>
          <w:color w:val="0C0C0C"/>
        </w:rPr>
        <w:t>统筹推进城市水系统建设。</w:t>
      </w:r>
      <w:r>
        <w:rPr>
          <w:rFonts w:ascii="宋体" w:cs="宋体" w:eastAsia="宋体" w:hAnsi="宋体"/>
          <w:sz w:val="30"/>
          <w:szCs w:val="30"/>
          <w:color w:val="000000"/>
        </w:rPr>
        <w:t>统筹区域流域生态环境治理和城市建设，实施城市生态修复。统筹城市水资源利用和防灾减灾，积极推进海绵城市建设。统筹城市防洪和内涝治理，提高城市防洪排涝的整体性、系统性。提高城市水资源涵养、蓄积、净化能力。以水而定、量水而行，构建城市健康水循环。强化污水再生利用。依法划定河湖管理范围，统筹利用和保护。</w:t>
      </w:r>
    </w:p>
    <w:p>
      <w:pPr>
        <w:spacing w:after="0" w:line="245" w:lineRule="exact"/>
        <w:rPr>
          <w:sz w:val="20"/>
          <w:szCs w:val="20"/>
          <w:color w:val="auto"/>
        </w:rPr>
      </w:pPr>
    </w:p>
    <w:p>
      <w:pPr>
        <w:jc w:val="both"/>
        <w:ind w:left="260" w:right="266" w:firstLine="638"/>
        <w:spacing w:after="0" w:line="517" w:lineRule="exact"/>
        <w:rPr>
          <w:sz w:val="20"/>
          <w:szCs w:val="20"/>
          <w:color w:val="auto"/>
        </w:rPr>
      </w:pPr>
      <w:r>
        <w:rPr>
          <w:rFonts w:ascii="Arial" w:cs="Arial" w:eastAsia="Arial" w:hAnsi="Arial"/>
          <w:sz w:val="32"/>
          <w:szCs w:val="32"/>
          <w:color w:val="0C0C0C"/>
        </w:rPr>
        <w:t>3.</w:t>
      </w:r>
      <w:r>
        <w:rPr>
          <w:rFonts w:ascii="宋体" w:cs="宋体" w:eastAsia="宋体" w:hAnsi="宋体"/>
          <w:sz w:val="32"/>
          <w:szCs w:val="32"/>
          <w:color w:val="0C0C0C"/>
        </w:rPr>
        <w:t>推进城市绿地系统建设。</w:t>
      </w:r>
      <w:r>
        <w:rPr>
          <w:rFonts w:ascii="宋体" w:cs="宋体" w:eastAsia="宋体" w:hAnsi="宋体"/>
          <w:sz w:val="32"/>
          <w:szCs w:val="32"/>
          <w:color w:val="000000"/>
        </w:rPr>
        <w:t>保护城市自然山水格局，合理布局绿心、绿楔、绿环、绿廊，多途径增加绿化空间。加强城市生物多样性保护，提升城市生态系统质量和稳定性。以园林城市创建为抓手，完善城市公园体系和绿道网络建设，合理设置多元化、人性化活动空间和防灾避险空间，为居民提供更安全、健康、友好的绿色生态产品。</w:t>
      </w:r>
    </w:p>
    <w:p>
      <w:pPr>
        <w:spacing w:after="0" w:line="246" w:lineRule="exact"/>
        <w:rPr>
          <w:sz w:val="20"/>
          <w:szCs w:val="20"/>
          <w:color w:val="auto"/>
        </w:rPr>
      </w:pPr>
    </w:p>
    <w:p>
      <w:pPr>
        <w:jc w:val="both"/>
        <w:ind w:left="260" w:right="266" w:firstLine="638"/>
        <w:spacing w:after="0" w:line="524" w:lineRule="exact"/>
        <w:rPr>
          <w:sz w:val="20"/>
          <w:szCs w:val="20"/>
          <w:color w:val="auto"/>
        </w:rPr>
      </w:pPr>
      <w:r>
        <w:rPr>
          <w:rFonts w:ascii="Arial" w:cs="Arial" w:eastAsia="Arial" w:hAnsi="Arial"/>
          <w:sz w:val="32"/>
          <w:szCs w:val="32"/>
          <w:color w:val="0C0C0C"/>
        </w:rPr>
        <w:t>4.</w:t>
      </w:r>
      <w:r>
        <w:rPr>
          <w:rFonts w:ascii="宋体" w:cs="宋体" w:eastAsia="宋体" w:hAnsi="宋体"/>
          <w:sz w:val="32"/>
          <w:szCs w:val="32"/>
          <w:color w:val="0C0C0C"/>
        </w:rPr>
        <w:t>促进城市生产生活方式绿色转型。</w:t>
      </w:r>
      <w:r>
        <w:rPr>
          <w:rFonts w:ascii="宋体" w:cs="宋体" w:eastAsia="宋体" w:hAnsi="宋体"/>
          <w:sz w:val="32"/>
          <w:szCs w:val="32"/>
          <w:color w:val="000000"/>
        </w:rPr>
        <w:t>优先发展城市公共交通，完善非机动车道、人行道等慢行网络，不断提升绿色出行水平。深入开展节水型城市建设，提高城市用水效率。推进城市能源系统高效化、清洁化、低碳化发展，增强电网分布式清洁能源接纳和储存能力，以及对清洁供暖等新型终端用电的保障能力。积极发展绿色照明，加快城市照明节能改造，防治城市光污染。推行垃圾分类和减量化、资源化。</w:t>
      </w:r>
    </w:p>
    <w:p>
      <w:pPr>
        <w:spacing w:after="0" w:line="242" w:lineRule="exact"/>
        <w:rPr>
          <w:sz w:val="20"/>
          <w:szCs w:val="20"/>
          <w:color w:val="auto"/>
        </w:rPr>
      </w:pPr>
    </w:p>
    <w:p>
      <w:pPr>
        <w:jc w:val="both"/>
        <w:ind w:left="260" w:right="266" w:firstLine="638"/>
        <w:spacing w:after="0" w:line="437" w:lineRule="exact"/>
        <w:rPr>
          <w:sz w:val="20"/>
          <w:szCs w:val="20"/>
          <w:color w:val="auto"/>
        </w:rPr>
      </w:pPr>
      <w:r>
        <w:rPr>
          <w:rFonts w:ascii="宋体" w:cs="宋体" w:eastAsia="宋体" w:hAnsi="宋体"/>
          <w:sz w:val="32"/>
          <w:szCs w:val="32"/>
          <w:color w:val="auto"/>
        </w:rPr>
        <w:t>（四）加快新型城市基础设施建设，推进城市智慧化转型发展。</w:t>
      </w:r>
    </w:p>
    <w:p>
      <w:pPr>
        <w:spacing w:after="0" w:line="191"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0C0C0C"/>
        </w:rPr>
        <w:t>1.</w:t>
      </w:r>
      <w:r>
        <w:rPr>
          <w:rFonts w:ascii="宋体" w:cs="宋体" w:eastAsia="宋体" w:hAnsi="宋体"/>
          <w:sz w:val="32"/>
          <w:szCs w:val="32"/>
          <w:color w:val="0C0C0C"/>
        </w:rPr>
        <w:t>推动城市基础设施智能化建设与改造。</w:t>
      </w:r>
      <w:r>
        <w:rPr>
          <w:rFonts w:ascii="宋体" w:cs="宋体" w:eastAsia="宋体" w:hAnsi="宋体"/>
          <w:sz w:val="32"/>
          <w:szCs w:val="32"/>
          <w:color w:val="000000"/>
        </w:rPr>
        <w:t>加快推进城市交</w:t>
      </w:r>
    </w:p>
    <w:p>
      <w:pPr>
        <w:spacing w:after="0" w:line="213"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通、水、能源、环卫、园林绿化等系统传统基础设施数字化、</w:t>
      </w:r>
    </w:p>
    <w:p>
      <w:pPr>
        <w:sectPr>
          <w:pgSz w:w="11900" w:h="16838" w:orient="portrait"/>
          <w:cols w:equalWidth="0" w:num="1">
            <w:col w:w="9026"/>
          </w:cols>
          <w:pgMar w:left="1440" w:top="1440" w:right="1440" w:bottom="654"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1"/>
          <w:szCs w:val="21"/>
          <w:color w:val="auto"/>
        </w:rPr>
        <w:t>10</w:t>
      </w:r>
    </w:p>
    <w:p>
      <w:pPr>
        <w:sectPr>
          <w:pgSz w:w="11900" w:h="16838" w:orient="portrait"/>
          <w:cols w:equalWidth="0" w:num="1">
            <w:col w:w="9026"/>
          </w:cols>
          <w:pgMar w:left="1440" w:top="1440" w:right="1440" w:bottom="654" w:gutter="0" w:footer="0" w:header="0"/>
          <w:type w:val="continuous"/>
        </w:sectPr>
      </w:pPr>
    </w:p>
    <w:bookmarkStart w:id="10" w:name="page11"/>
    <w:bookmarkEnd w:id="10"/>
    <w:p>
      <w:pPr>
        <w:spacing w:after="0" w:line="200" w:lineRule="exact"/>
        <w:rPr>
          <w:sz w:val="20"/>
          <w:szCs w:val="20"/>
          <w:color w:val="auto"/>
        </w:rPr>
      </w:pPr>
    </w:p>
    <w:p>
      <w:pPr>
        <w:spacing w:after="0" w:line="253" w:lineRule="exact"/>
        <w:rPr>
          <w:sz w:val="20"/>
          <w:szCs w:val="20"/>
          <w:color w:val="auto"/>
        </w:rPr>
      </w:pPr>
    </w:p>
    <w:p>
      <w:pPr>
        <w:jc w:val="both"/>
        <w:ind w:left="260" w:right="266"/>
        <w:spacing w:after="0" w:line="515" w:lineRule="exact"/>
        <w:rPr>
          <w:sz w:val="20"/>
          <w:szCs w:val="20"/>
          <w:color w:val="auto"/>
        </w:rPr>
      </w:pPr>
      <w:r>
        <w:rPr>
          <w:rFonts w:ascii="宋体" w:cs="宋体" w:eastAsia="宋体" w:hAnsi="宋体"/>
          <w:sz w:val="31"/>
          <w:szCs w:val="31"/>
          <w:color w:val="auto"/>
        </w:rPr>
        <w:t>网络化、智能化建设与改造，加强泛在感知、终端联网、智能调度体系构建。在有条件的地方推进城市基础设施智能化管理，逐步实现城市基础设施建设数字化、监测感知网络化、运营管理智能化，对接城市运行管理服务平台，支撑城市运行</w:t>
      </w:r>
    </w:p>
    <w:p>
      <w:pPr>
        <w:spacing w:after="0" w:line="264" w:lineRule="exact"/>
        <w:rPr>
          <w:sz w:val="20"/>
          <w:szCs w:val="20"/>
          <w:color w:val="auto"/>
        </w:rPr>
      </w:pPr>
    </w:p>
    <w:p>
      <w:pPr>
        <w:jc w:val="both"/>
        <w:ind w:left="260" w:right="266"/>
        <w:spacing w:after="0" w:line="491" w:lineRule="exact"/>
        <w:rPr>
          <w:sz w:val="20"/>
          <w:szCs w:val="20"/>
          <w:color w:val="auto"/>
        </w:rPr>
      </w:pPr>
      <w:r>
        <w:rPr>
          <w:rFonts w:ascii="Arial" w:cs="Arial" w:eastAsia="Arial" w:hAnsi="Arial"/>
          <w:sz w:val="32"/>
          <w:szCs w:val="32"/>
          <w:color w:val="auto"/>
        </w:rPr>
        <w:t>“</w:t>
      </w:r>
      <w:r>
        <w:rPr>
          <w:rFonts w:ascii="宋体" w:cs="宋体" w:eastAsia="宋体" w:hAnsi="宋体"/>
          <w:sz w:val="32"/>
          <w:szCs w:val="32"/>
          <w:color w:val="auto"/>
        </w:rPr>
        <w:t>一网统管</w:t>
      </w:r>
      <w:r>
        <w:rPr>
          <w:rFonts w:ascii="Arial" w:cs="Arial" w:eastAsia="Arial" w:hAnsi="Arial"/>
          <w:sz w:val="32"/>
          <w:szCs w:val="32"/>
          <w:color w:val="auto"/>
        </w:rPr>
        <w:t>”</w:t>
      </w:r>
      <w:r>
        <w:rPr>
          <w:rFonts w:ascii="宋体" w:cs="宋体" w:eastAsia="宋体" w:hAnsi="宋体"/>
          <w:sz w:val="32"/>
          <w:szCs w:val="32"/>
          <w:color w:val="auto"/>
        </w:rPr>
        <w:t>。</w:t>
      </w:r>
      <w:r>
        <w:rPr>
          <w:rFonts w:ascii="宋体" w:cs="宋体" w:eastAsia="宋体" w:hAnsi="宋体"/>
          <w:sz w:val="32"/>
          <w:szCs w:val="32"/>
          <w:color w:val="0C0C0C"/>
        </w:rPr>
        <w:t>推动智慧城市基础设施与智能网联汽车协同发展。</w:t>
      </w:r>
      <w:r>
        <w:rPr>
          <w:rFonts w:ascii="宋体" w:cs="宋体" w:eastAsia="宋体" w:hAnsi="宋体"/>
          <w:sz w:val="32"/>
          <w:szCs w:val="32"/>
          <w:color w:val="000000"/>
        </w:rPr>
        <w:t>推进城市通信网、车联网、位置网、能源网等新型网络设施建设。</w:t>
      </w:r>
    </w:p>
    <w:p>
      <w:pPr>
        <w:spacing w:after="0" w:line="268" w:lineRule="exact"/>
        <w:rPr>
          <w:sz w:val="20"/>
          <w:szCs w:val="20"/>
          <w:color w:val="auto"/>
        </w:rPr>
      </w:pPr>
    </w:p>
    <w:p>
      <w:pPr>
        <w:ind w:left="260" w:right="126" w:firstLine="638"/>
        <w:spacing w:after="0" w:line="547" w:lineRule="exact"/>
        <w:rPr>
          <w:sz w:val="20"/>
          <w:szCs w:val="20"/>
          <w:color w:val="auto"/>
        </w:rPr>
      </w:pPr>
      <w:r>
        <w:rPr>
          <w:rFonts w:ascii="Arial" w:cs="Arial" w:eastAsia="Arial" w:hAnsi="Arial"/>
          <w:sz w:val="32"/>
          <w:szCs w:val="32"/>
          <w:color w:val="0C0C0C"/>
        </w:rPr>
        <w:t>2.</w:t>
      </w:r>
      <w:r>
        <w:rPr>
          <w:rFonts w:ascii="宋体" w:cs="宋体" w:eastAsia="宋体" w:hAnsi="宋体"/>
          <w:sz w:val="32"/>
          <w:szCs w:val="32"/>
          <w:color w:val="0C0C0C"/>
        </w:rPr>
        <w:t>构建信息通信网络基础设施系统。</w:t>
      </w:r>
      <w:r>
        <w:rPr>
          <w:rFonts w:ascii="宋体" w:cs="宋体" w:eastAsia="宋体" w:hAnsi="宋体"/>
          <w:sz w:val="32"/>
          <w:szCs w:val="32"/>
          <w:color w:val="000000"/>
        </w:rPr>
        <w:t>建设高速泛在、天地一体、集成互联、安全高效的信息基础设施，增强数据感知、传输、存储和运算能力，助力智慧城市建设。推进第五代移动通信技术（</w:t>
      </w:r>
      <w:r>
        <w:rPr>
          <w:rFonts w:ascii="Arial" w:cs="Arial" w:eastAsia="Arial" w:hAnsi="Arial"/>
          <w:sz w:val="32"/>
          <w:szCs w:val="32"/>
          <w:color w:val="000000"/>
        </w:rPr>
        <w:t>5G</w:t>
      </w:r>
      <w:r>
        <w:rPr>
          <w:rFonts w:ascii="宋体" w:cs="宋体" w:eastAsia="宋体" w:hAnsi="宋体"/>
          <w:sz w:val="32"/>
          <w:szCs w:val="32"/>
          <w:color w:val="000000"/>
        </w:rPr>
        <w:t>）网络设施规模化部署，推广升级千兆光纤网络设施。推进骨干网互联节点设施扩容建设。科学合理布局各类通信基础设施，促进其他类型基础设施与信息通信基础设施融合部署。推进面向城市应用、全面覆盖的通信、导航、遥感空间基础设施建设运行和共享。</w:t>
      </w:r>
    </w:p>
    <w:p>
      <w:pPr>
        <w:spacing w:after="0" w:line="227" w:lineRule="exact"/>
        <w:rPr>
          <w:sz w:val="20"/>
          <w:szCs w:val="20"/>
          <w:color w:val="auto"/>
        </w:rPr>
      </w:pPr>
    </w:p>
    <w:p>
      <w:pPr>
        <w:ind w:left="900"/>
        <w:spacing w:after="0" w:line="366" w:lineRule="exact"/>
        <w:rPr>
          <w:sz w:val="20"/>
          <w:szCs w:val="20"/>
          <w:color w:val="auto"/>
        </w:rPr>
      </w:pPr>
      <w:r>
        <w:rPr>
          <w:rFonts w:ascii="黑体" w:cs="黑体" w:eastAsia="黑体" w:hAnsi="黑体"/>
          <w:sz w:val="32"/>
          <w:szCs w:val="32"/>
          <w:color w:val="auto"/>
        </w:rPr>
        <w:t>四、重大行动</w:t>
      </w:r>
    </w:p>
    <w:p>
      <w:pPr>
        <w:spacing w:after="0" w:line="217"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（一）城市交通设施体系化与绿色化提升行动。</w:t>
      </w:r>
    </w:p>
    <w:p>
      <w:pPr>
        <w:spacing w:after="0" w:line="266" w:lineRule="exact"/>
        <w:rPr>
          <w:sz w:val="20"/>
          <w:szCs w:val="20"/>
          <w:color w:val="auto"/>
        </w:rPr>
      </w:pPr>
    </w:p>
    <w:p>
      <w:pPr>
        <w:jc w:val="both"/>
        <w:ind w:left="260" w:right="266" w:firstLine="638"/>
        <w:spacing w:after="0" w:line="540" w:lineRule="exact"/>
        <w:rPr>
          <w:sz w:val="20"/>
          <w:szCs w:val="20"/>
          <w:color w:val="auto"/>
        </w:rPr>
      </w:pPr>
      <w:r>
        <w:rPr>
          <w:rFonts w:ascii="Arial" w:cs="Arial" w:eastAsia="Arial" w:hAnsi="Arial"/>
          <w:sz w:val="32"/>
          <w:szCs w:val="32"/>
          <w:color w:val="0C0C0C"/>
        </w:rPr>
        <w:t>1.</w:t>
      </w:r>
      <w:r>
        <w:rPr>
          <w:rFonts w:ascii="宋体" w:cs="宋体" w:eastAsia="宋体" w:hAnsi="宋体"/>
          <w:sz w:val="32"/>
          <w:szCs w:val="32"/>
          <w:color w:val="0C0C0C"/>
        </w:rPr>
        <w:t>开展城市道路体系化人性化补短板。</w:t>
      </w:r>
      <w:r>
        <w:rPr>
          <w:rFonts w:ascii="宋体" w:cs="宋体" w:eastAsia="宋体" w:hAnsi="宋体"/>
          <w:sz w:val="32"/>
          <w:szCs w:val="32"/>
          <w:color w:val="000000"/>
        </w:rPr>
        <w:t>提升城市道路网密度。落实</w:t>
      </w:r>
      <w:r>
        <w:rPr>
          <w:rFonts w:ascii="Arial" w:cs="Arial" w:eastAsia="Arial" w:hAnsi="Arial"/>
          <w:sz w:val="32"/>
          <w:szCs w:val="32"/>
          <w:color w:val="000000"/>
        </w:rPr>
        <w:t>“</w:t>
      </w:r>
      <w:r>
        <w:rPr>
          <w:rFonts w:ascii="宋体" w:cs="宋体" w:eastAsia="宋体" w:hAnsi="宋体"/>
          <w:sz w:val="32"/>
          <w:szCs w:val="32"/>
          <w:color w:val="000000"/>
        </w:rPr>
        <w:t>窄马路、密路网</w:t>
      </w:r>
      <w:r>
        <w:rPr>
          <w:rFonts w:ascii="Arial" w:cs="Arial" w:eastAsia="Arial" w:hAnsi="Arial"/>
          <w:sz w:val="32"/>
          <w:szCs w:val="32"/>
          <w:color w:val="000000"/>
        </w:rPr>
        <w:t>”</w:t>
      </w:r>
      <w:r>
        <w:rPr>
          <w:rFonts w:ascii="宋体" w:cs="宋体" w:eastAsia="宋体" w:hAnsi="宋体"/>
          <w:sz w:val="32"/>
          <w:szCs w:val="32"/>
          <w:color w:val="000000"/>
        </w:rPr>
        <w:t>的城市道路规划布局理念，建设快速路、主干路和次干路、支路级配合理、适宜绿色出行的城市道路网络。加强次干路、支路、街巷路建设改造，完善城镇老旧小区道路，打通各类断头路和应急救援</w:t>
      </w:r>
      <w:r>
        <w:rPr>
          <w:rFonts w:ascii="Arial" w:cs="Arial" w:eastAsia="Arial" w:hAnsi="Arial"/>
          <w:sz w:val="32"/>
          <w:szCs w:val="32"/>
          <w:color w:val="000000"/>
        </w:rPr>
        <w:t>“</w:t>
      </w:r>
      <w:r>
        <w:rPr>
          <w:rFonts w:ascii="宋体" w:cs="宋体" w:eastAsia="宋体" w:hAnsi="宋体"/>
          <w:sz w:val="32"/>
          <w:szCs w:val="32"/>
          <w:color w:val="000000"/>
        </w:rPr>
        <w:t>生命通道</w:t>
      </w:r>
      <w:r>
        <w:rPr>
          <w:rFonts w:ascii="Arial" w:cs="Arial" w:eastAsia="Arial" w:hAnsi="Arial"/>
          <w:sz w:val="32"/>
          <w:szCs w:val="32"/>
          <w:color w:val="000000"/>
        </w:rPr>
        <w:t>”</w:t>
      </w:r>
      <w:r>
        <w:rPr>
          <w:rFonts w:ascii="宋体" w:cs="宋体" w:eastAsia="宋体" w:hAnsi="宋体"/>
          <w:sz w:val="32"/>
          <w:szCs w:val="32"/>
          <w:color w:val="000000"/>
        </w:rPr>
        <w:t>，提高道路网络密度和通达性。</w:t>
      </w:r>
    </w:p>
    <w:p>
      <w:pPr>
        <w:sectPr>
          <w:pgSz w:w="11900" w:h="16838" w:orient="portrait"/>
          <w:cols w:equalWidth="0" w:num="1">
            <w:col w:w="9026"/>
          </w:cols>
          <w:pgMar w:left="1440" w:top="1440" w:right="1440" w:bottom="666" w:gutter="0" w:footer="0" w:header="0"/>
        </w:sectPr>
      </w:pPr>
    </w:p>
    <w:p>
      <w:pPr>
        <w:spacing w:after="0" w:line="378"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0"/>
          <w:szCs w:val="20"/>
          <w:color w:val="auto"/>
        </w:rPr>
        <w:t>11</w:t>
      </w:r>
    </w:p>
    <w:p>
      <w:pPr>
        <w:sectPr>
          <w:pgSz w:w="11900" w:h="16838" w:orient="portrait"/>
          <w:cols w:equalWidth="0" w:num="1">
            <w:col w:w="9026"/>
          </w:cols>
          <w:pgMar w:left="1440" w:top="1440" w:right="1440" w:bottom="666" w:gutter="0" w:footer="0" w:header="0"/>
          <w:type w:val="continuous"/>
        </w:sectPr>
      </w:pPr>
    </w:p>
    <w:bookmarkStart w:id="11" w:name="page12"/>
    <w:bookmarkEnd w:id="11"/>
    <w:p>
      <w:pPr>
        <w:spacing w:after="0" w:line="200" w:lineRule="exact"/>
        <w:rPr>
          <w:sz w:val="20"/>
          <w:szCs w:val="20"/>
          <w:color w:val="auto"/>
        </w:rPr>
      </w:pPr>
    </w:p>
    <w:p>
      <w:pPr>
        <w:spacing w:after="0" w:line="255" w:lineRule="exact"/>
        <w:rPr>
          <w:sz w:val="20"/>
          <w:szCs w:val="20"/>
          <w:color w:val="auto"/>
        </w:rPr>
      </w:pPr>
    </w:p>
    <w:p>
      <w:pPr>
        <w:jc w:val="both"/>
        <w:ind w:left="260" w:right="126" w:firstLine="638"/>
        <w:spacing w:after="0" w:line="516" w:lineRule="exact"/>
        <w:rPr>
          <w:sz w:val="20"/>
          <w:szCs w:val="20"/>
          <w:color w:val="auto"/>
        </w:rPr>
      </w:pPr>
      <w:r>
        <w:rPr>
          <w:rFonts w:ascii="宋体" w:cs="宋体" w:eastAsia="宋体" w:hAnsi="宋体"/>
          <w:sz w:val="32"/>
          <w:szCs w:val="32"/>
          <w:color w:val="auto"/>
        </w:rPr>
        <w:t>精细化设计建设道路空间。提高公共交通、步行和非机动车等绿色交通路权比例，提升街道环境品质和公共空间氛围。对于适宜骑行城市，新建、改造道路红线内人行道和非机动车道空间所占比例不宜低于</w:t>
      </w:r>
      <w:r>
        <w:rPr>
          <w:rFonts w:ascii="Arial" w:cs="Arial" w:eastAsia="Arial" w:hAnsi="Arial"/>
          <w:sz w:val="32"/>
          <w:szCs w:val="32"/>
          <w:color w:val="auto"/>
        </w:rPr>
        <w:t>30%</w:t>
      </w:r>
      <w:r>
        <w:rPr>
          <w:rFonts w:ascii="宋体" w:cs="宋体" w:eastAsia="宋体" w:hAnsi="宋体"/>
          <w:sz w:val="32"/>
          <w:szCs w:val="32"/>
          <w:color w:val="auto"/>
        </w:rPr>
        <w:t>。</w:t>
      </w:r>
    </w:p>
    <w:p>
      <w:pPr>
        <w:spacing w:after="0" w:line="274" w:lineRule="exact"/>
        <w:rPr>
          <w:sz w:val="20"/>
          <w:szCs w:val="20"/>
          <w:color w:val="auto"/>
        </w:rPr>
      </w:pPr>
    </w:p>
    <w:p>
      <w:pPr>
        <w:ind w:left="260" w:right="106" w:firstLine="638"/>
        <w:spacing w:after="0" w:line="545" w:lineRule="exact"/>
        <w:rPr>
          <w:sz w:val="20"/>
          <w:szCs w:val="20"/>
          <w:color w:val="auto"/>
        </w:rPr>
      </w:pPr>
      <w:r>
        <w:rPr>
          <w:rFonts w:ascii="宋体" w:cs="宋体" w:eastAsia="宋体" w:hAnsi="宋体"/>
          <w:sz w:val="32"/>
          <w:szCs w:val="32"/>
          <w:color w:val="auto"/>
        </w:rPr>
        <w:t>开展道路设施人性化建设与改造。规范设置道路交通安全设施和交通管理设施，提高出行安全性。合理设计道路断面，集约设置各类杆体、箱体、地下管线等设施，拆除或归并闲置、废弃的设施，妥善处理各类设施布置与慢行空间、道路绿化美化的关系，提高土地利用率和慢行空间舒适性，提升景观效果。推进现有道路无障碍设施改造，改善交通基础设施无障碍出行条件，提升无障碍出行水平。</w:t>
      </w:r>
    </w:p>
    <w:p>
      <w:pPr>
        <w:spacing w:after="0" w:line="276" w:lineRule="exact"/>
        <w:rPr>
          <w:sz w:val="20"/>
          <w:szCs w:val="20"/>
          <w:color w:val="auto"/>
        </w:rPr>
      </w:pPr>
    </w:p>
    <w:p>
      <w:pPr>
        <w:ind w:left="260" w:right="126" w:firstLine="638"/>
        <w:spacing w:after="0" w:line="550" w:lineRule="exact"/>
        <w:rPr>
          <w:sz w:val="20"/>
          <w:szCs w:val="20"/>
          <w:color w:val="auto"/>
        </w:rPr>
      </w:pPr>
      <w:r>
        <w:rPr>
          <w:rFonts w:ascii="Arial" w:cs="Arial" w:eastAsia="Arial" w:hAnsi="Arial"/>
          <w:sz w:val="32"/>
          <w:szCs w:val="32"/>
          <w:color w:val="0C0C0C"/>
        </w:rPr>
        <w:t>2.</w:t>
      </w:r>
      <w:r>
        <w:rPr>
          <w:rFonts w:ascii="宋体" w:cs="宋体" w:eastAsia="宋体" w:hAnsi="宋体"/>
          <w:sz w:val="32"/>
          <w:szCs w:val="32"/>
          <w:color w:val="0C0C0C"/>
        </w:rPr>
        <w:t>推进轨道交通与地面公交系统化建设。</w:t>
      </w:r>
      <w:r>
        <w:rPr>
          <w:rFonts w:ascii="宋体" w:cs="宋体" w:eastAsia="宋体" w:hAnsi="宋体"/>
          <w:sz w:val="32"/>
          <w:szCs w:val="32"/>
          <w:color w:val="000000"/>
        </w:rPr>
        <w:t>强化重点区域轨道交通建设与多网衔接。以京津冀、长三角、粤港澳大湾区等地区为重点，科学有序发展城际铁路，构建城市群轨道交通网络。统筹考虑重点都市圈轨道交通网络布局，构建以轨道交通为骨干的</w:t>
      </w:r>
      <w:r>
        <w:rPr>
          <w:rFonts w:ascii="Arial" w:cs="Arial" w:eastAsia="Arial" w:hAnsi="Arial"/>
          <w:sz w:val="32"/>
          <w:szCs w:val="32"/>
          <w:color w:val="000000"/>
        </w:rPr>
        <w:t xml:space="preserve"> 1 </w:t>
      </w:r>
      <w:r>
        <w:rPr>
          <w:rFonts w:ascii="宋体" w:cs="宋体" w:eastAsia="宋体" w:hAnsi="宋体"/>
          <w:sz w:val="32"/>
          <w:szCs w:val="32"/>
          <w:color w:val="000000"/>
        </w:rPr>
        <w:t>小时通勤圈。统筹做好城市轨道交通与干线铁路、城际铁路、市域（郊）铁路等多种轨道交通制式及地面公交、城市慢行交通系统的衔接融合，探索都市圈中心城市轨道交通以合理制式适当向周边城市（镇）延伸。</w:t>
      </w:r>
    </w:p>
    <w:p>
      <w:pPr>
        <w:spacing w:after="0" w:line="277" w:lineRule="exact"/>
        <w:rPr>
          <w:sz w:val="20"/>
          <w:szCs w:val="20"/>
          <w:color w:val="auto"/>
        </w:rPr>
      </w:pPr>
    </w:p>
    <w:p>
      <w:pPr>
        <w:ind w:left="260" w:right="106" w:firstLine="638"/>
        <w:spacing w:after="0" w:line="517" w:lineRule="exact"/>
        <w:rPr>
          <w:sz w:val="20"/>
          <w:szCs w:val="20"/>
          <w:color w:val="auto"/>
        </w:rPr>
      </w:pPr>
      <w:r>
        <w:rPr>
          <w:rFonts w:ascii="宋体" w:cs="宋体" w:eastAsia="宋体" w:hAnsi="宋体"/>
          <w:sz w:val="31"/>
          <w:szCs w:val="31"/>
          <w:color w:val="auto"/>
        </w:rPr>
        <w:t>分类推进城市轨道交通建设。优化超大、特大城市轨道交通功能层次，合理布局城市轨道交通快线，统筹建设市域（郊）铁路并做好设施互联互通，提高服务效率；支持中心城区网络适度加密，提高网络覆盖水平。</w:t>
      </w:r>
      <w:r>
        <w:rPr>
          <w:rFonts w:ascii="Arial" w:cs="Arial" w:eastAsia="Arial" w:hAnsi="Arial"/>
          <w:sz w:val="31"/>
          <w:szCs w:val="31"/>
          <w:color w:val="auto"/>
        </w:rPr>
        <w:t>I</w:t>
      </w:r>
      <w:r>
        <w:rPr>
          <w:rFonts w:ascii="宋体" w:cs="宋体" w:eastAsia="宋体" w:hAnsi="宋体"/>
          <w:sz w:val="31"/>
          <w:szCs w:val="31"/>
          <w:color w:val="auto"/>
        </w:rPr>
        <w:t>型大城市应结合实际推进轨</w:t>
      </w:r>
    </w:p>
    <w:p>
      <w:pPr>
        <w:sectPr>
          <w:pgSz w:w="11900" w:h="16838" w:orient="portrait"/>
          <w:cols w:equalWidth="0" w:num="1">
            <w:col w:w="9026"/>
          </w:cols>
          <w:pgMar w:left="1440" w:top="1440" w:right="1440" w:bottom="654" w:gutter="0" w:footer="0" w:header="0"/>
        </w:sectPr>
      </w:pPr>
    </w:p>
    <w:p>
      <w:pPr>
        <w:spacing w:after="0" w:line="320"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1"/>
          <w:szCs w:val="21"/>
          <w:color w:val="auto"/>
        </w:rPr>
        <w:t>12</w:t>
      </w:r>
    </w:p>
    <w:p>
      <w:pPr>
        <w:sectPr>
          <w:pgSz w:w="11900" w:h="16838" w:orient="portrait"/>
          <w:cols w:equalWidth="0" w:num="1">
            <w:col w:w="9026"/>
          </w:cols>
          <w:pgMar w:left="1440" w:top="1440" w:right="1440" w:bottom="654" w:gutter="0" w:footer="0" w:header="0"/>
          <w:type w:val="continuous"/>
        </w:sectPr>
      </w:pPr>
    </w:p>
    <w:bookmarkStart w:id="12" w:name="page13"/>
    <w:bookmarkEnd w:id="12"/>
    <w:p>
      <w:pPr>
        <w:spacing w:after="0" w:line="200" w:lineRule="exact"/>
        <w:rPr>
          <w:sz w:val="20"/>
          <w:szCs w:val="20"/>
          <w:color w:val="auto"/>
        </w:rPr>
      </w:pPr>
    </w:p>
    <w:p>
      <w:pPr>
        <w:spacing w:after="0" w:line="255" w:lineRule="exact"/>
        <w:rPr>
          <w:sz w:val="20"/>
          <w:szCs w:val="20"/>
          <w:color w:val="auto"/>
        </w:rPr>
      </w:pPr>
    </w:p>
    <w:p>
      <w:pPr>
        <w:jc w:val="both"/>
        <w:ind w:left="260" w:right="266"/>
        <w:spacing w:after="0" w:line="516" w:lineRule="exact"/>
        <w:rPr>
          <w:sz w:val="20"/>
          <w:szCs w:val="20"/>
          <w:color w:val="auto"/>
        </w:rPr>
      </w:pPr>
      <w:r>
        <w:rPr>
          <w:rFonts w:ascii="宋体" w:cs="宋体" w:eastAsia="宋体" w:hAnsi="宋体"/>
          <w:sz w:val="32"/>
          <w:szCs w:val="32"/>
          <w:color w:val="auto"/>
        </w:rPr>
        <w:t>道交通主骨架网络建设，并研究利用中低运量轨道交通系统适度加强网络覆盖，尽快形成网络化运营效益；符合条件的</w:t>
      </w:r>
      <w:r>
        <w:rPr>
          <w:rFonts w:ascii="Arial" w:cs="Arial" w:eastAsia="Arial" w:hAnsi="Arial"/>
          <w:sz w:val="32"/>
          <w:szCs w:val="32"/>
          <w:color w:val="auto"/>
        </w:rPr>
        <w:t>II</w:t>
      </w:r>
      <w:r>
        <w:rPr>
          <w:rFonts w:ascii="宋体" w:cs="宋体" w:eastAsia="宋体" w:hAnsi="宋体"/>
          <w:sz w:val="32"/>
          <w:szCs w:val="32"/>
          <w:color w:val="auto"/>
        </w:rPr>
        <w:t>型大城市结合城市交通需求，因地制宜推动中低运量轨道交通系统规划建设。</w:t>
      </w:r>
    </w:p>
    <w:p>
      <w:pPr>
        <w:spacing w:after="0" w:line="274" w:lineRule="exact"/>
        <w:rPr>
          <w:sz w:val="20"/>
          <w:szCs w:val="20"/>
          <w:color w:val="auto"/>
        </w:rPr>
      </w:pPr>
    </w:p>
    <w:p>
      <w:pPr>
        <w:jc w:val="both"/>
        <w:ind w:left="260" w:right="266" w:firstLine="638"/>
        <w:spacing w:after="0" w:line="545" w:lineRule="exact"/>
        <w:rPr>
          <w:sz w:val="20"/>
          <w:szCs w:val="20"/>
          <w:color w:val="auto"/>
        </w:rPr>
      </w:pPr>
      <w:r>
        <w:rPr>
          <w:rFonts w:ascii="宋体" w:cs="宋体" w:eastAsia="宋体" w:hAnsi="宋体"/>
          <w:sz w:val="32"/>
          <w:szCs w:val="32"/>
          <w:color w:val="auto"/>
        </w:rPr>
        <w:t>加强轨道交通与城市功能协同布局建设。构建轨道交通引导的城市功能结构与空间发展开发模式，建立站点综合开发实施机制，实行站城一体化开发模式，不断提高轨道交通覆盖通勤出行比例。优化轨道交通线路走向和站点设置，提高与沿线用地储备和开发潜力的匹配性，加强与城市景观、空间环境的有机协调。合理确定轨道交通建设时序，实现轨道交通建设与旧城更新、新区建设和城市品质提升相协调。</w:t>
      </w:r>
    </w:p>
    <w:p>
      <w:pPr>
        <w:spacing w:after="0" w:line="276" w:lineRule="exact"/>
        <w:rPr>
          <w:sz w:val="20"/>
          <w:szCs w:val="20"/>
          <w:color w:val="auto"/>
        </w:rPr>
      </w:pPr>
    </w:p>
    <w:p>
      <w:pPr>
        <w:jc w:val="both"/>
        <w:ind w:left="260" w:right="266" w:firstLine="638"/>
        <w:spacing w:after="0" w:line="539" w:lineRule="exact"/>
        <w:rPr>
          <w:sz w:val="20"/>
          <w:szCs w:val="20"/>
          <w:color w:val="auto"/>
        </w:rPr>
      </w:pPr>
      <w:r>
        <w:rPr>
          <w:rFonts w:ascii="宋体" w:cs="宋体" w:eastAsia="宋体" w:hAnsi="宋体"/>
          <w:sz w:val="32"/>
          <w:szCs w:val="32"/>
          <w:color w:val="auto"/>
        </w:rPr>
        <w:t>提升轨道交通换乘衔接效率。提高轨道交通与机场、高铁站等重大交通枢纽的衔接服务能力，推动优化铁路、民航、城市轨道交通等交通运输方式间安检流程。依托城市轨道交通建设线路优化调整地面公交网络，推动一体化公共交通体系建设。完善轨道站点周边支路网系统和周边建筑连廊、地下通道等配套接驳设施，引导绿色出行。</w:t>
      </w:r>
    </w:p>
    <w:p>
      <w:pPr>
        <w:spacing w:after="0" w:line="274" w:lineRule="exact"/>
        <w:rPr>
          <w:sz w:val="20"/>
          <w:szCs w:val="20"/>
          <w:color w:val="auto"/>
        </w:rPr>
      </w:pPr>
    </w:p>
    <w:p>
      <w:pPr>
        <w:jc w:val="both"/>
        <w:ind w:left="260" w:right="266" w:firstLine="638"/>
        <w:spacing w:after="0" w:line="540" w:lineRule="exact"/>
        <w:rPr>
          <w:sz w:val="20"/>
          <w:szCs w:val="20"/>
          <w:color w:val="auto"/>
        </w:rPr>
      </w:pPr>
      <w:r>
        <w:rPr>
          <w:rFonts w:ascii="宋体" w:cs="宋体" w:eastAsia="宋体" w:hAnsi="宋体"/>
          <w:sz w:val="31"/>
          <w:szCs w:val="31"/>
          <w:color w:val="auto"/>
        </w:rPr>
        <w:t>全面提升地面公交服务品质。结合城市实际构建多样化地面公交服务体系。加快推进通勤主导方向上的公共交通服务供给。加快推进城市公交枢纽、首末站等基础设施建设。优化调整城市公交线网和站点布局，提高公交服务效率。加大公交专用道建设力度，优先在城市中心城区及交通密集区域形成连续、成网的公交专用道。积极推行公交信号优先，全面推进公</w:t>
      </w:r>
    </w:p>
    <w:p>
      <w:pPr>
        <w:sectPr>
          <w:pgSz w:w="11900" w:h="16838" w:orient="portrait"/>
          <w:cols w:equalWidth="0" w:num="1">
            <w:col w:w="9026"/>
          </w:cols>
          <w:pgMar w:left="1440" w:top="1440" w:right="1440" w:bottom="654" w:gutter="0" w:footer="0" w:header="0"/>
        </w:sectPr>
      </w:pPr>
    </w:p>
    <w:p>
      <w:pPr>
        <w:spacing w:after="0" w:line="318"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1"/>
          <w:szCs w:val="21"/>
          <w:color w:val="auto"/>
        </w:rPr>
        <w:t>13</w:t>
      </w:r>
    </w:p>
    <w:p>
      <w:pPr>
        <w:sectPr>
          <w:pgSz w:w="11900" w:h="16838" w:orient="portrait"/>
          <w:cols w:equalWidth="0" w:num="1">
            <w:col w:w="9026"/>
          </w:cols>
          <w:pgMar w:left="1440" w:top="1440" w:right="1440" w:bottom="654" w:gutter="0" w:footer="0" w:header="0"/>
          <w:type w:val="continuous"/>
        </w:sectPr>
      </w:pPr>
    </w:p>
    <w:bookmarkStart w:id="13" w:name="page14"/>
    <w:bookmarkEnd w:id="13"/>
    <w:p>
      <w:pPr>
        <w:spacing w:after="0" w:line="200" w:lineRule="exact"/>
        <w:rPr>
          <w:sz w:val="20"/>
          <w:szCs w:val="20"/>
          <w:color w:val="auto"/>
        </w:rPr>
      </w:pPr>
    </w:p>
    <w:p>
      <w:pPr>
        <w:spacing w:after="0" w:line="255" w:lineRule="exact"/>
        <w:rPr>
          <w:sz w:val="20"/>
          <w:szCs w:val="20"/>
          <w:color w:val="auto"/>
        </w:rPr>
      </w:pPr>
    </w:p>
    <w:p>
      <w:pPr>
        <w:jc w:val="both"/>
        <w:ind w:left="260" w:right="266"/>
        <w:spacing w:after="0" w:line="451" w:lineRule="exact"/>
        <w:rPr>
          <w:sz w:val="20"/>
          <w:szCs w:val="20"/>
          <w:color w:val="auto"/>
        </w:rPr>
      </w:pPr>
      <w:r>
        <w:rPr>
          <w:rFonts w:ascii="宋体" w:cs="宋体" w:eastAsia="宋体" w:hAnsi="宋体"/>
          <w:sz w:val="32"/>
          <w:szCs w:val="32"/>
          <w:color w:val="auto"/>
        </w:rPr>
        <w:t>交智能化系统建设。优化地面公交站点设置，提高港湾式公交停靠站设置比例。</w:t>
      </w:r>
    </w:p>
    <w:p>
      <w:pPr>
        <w:spacing w:after="0" w:line="268" w:lineRule="exact"/>
        <w:rPr>
          <w:sz w:val="20"/>
          <w:szCs w:val="20"/>
          <w:color w:val="auto"/>
        </w:rPr>
      </w:pPr>
    </w:p>
    <w:p>
      <w:pPr>
        <w:jc w:val="both"/>
        <w:ind w:left="260" w:right="266" w:firstLine="638"/>
        <w:spacing w:after="0" w:line="539" w:lineRule="exact"/>
        <w:rPr>
          <w:sz w:val="20"/>
          <w:szCs w:val="20"/>
          <w:color w:val="auto"/>
        </w:rPr>
      </w:pPr>
      <w:r>
        <w:rPr>
          <w:rFonts w:ascii="Arial" w:cs="Arial" w:eastAsia="Arial" w:hAnsi="Arial"/>
          <w:sz w:val="32"/>
          <w:szCs w:val="32"/>
          <w:color w:val="0C0C0C"/>
        </w:rPr>
        <w:t>3.</w:t>
      </w:r>
      <w:r>
        <w:rPr>
          <w:rFonts w:ascii="宋体" w:cs="宋体" w:eastAsia="宋体" w:hAnsi="宋体"/>
          <w:sz w:val="32"/>
          <w:szCs w:val="32"/>
          <w:color w:val="0C0C0C"/>
        </w:rPr>
        <w:t>提升绿色交通出行品质。</w:t>
      </w:r>
      <w:r>
        <w:rPr>
          <w:rFonts w:ascii="宋体" w:cs="宋体" w:eastAsia="宋体" w:hAnsi="宋体"/>
          <w:sz w:val="32"/>
          <w:szCs w:val="32"/>
          <w:color w:val="000000"/>
        </w:rPr>
        <w:t>推进人行道净化行动。完善人行道网络，拓宽过窄人行道，清理占道行为，科学设置人行过街设施和立体步行系统，确保人行道连续畅通。及时排查和消除人行道设施破损、路面坑洼、井盖缺失沉陷等安全隐患，确保人行道通行安全。加强城市道路沿线照明和沿路绿化，建设林荫路，形成舒适的人行道通行环境。</w:t>
      </w:r>
    </w:p>
    <w:p>
      <w:pPr>
        <w:spacing w:after="0" w:line="272" w:lineRule="exact"/>
        <w:rPr>
          <w:sz w:val="20"/>
          <w:szCs w:val="20"/>
          <w:color w:val="auto"/>
        </w:rPr>
      </w:pPr>
    </w:p>
    <w:p>
      <w:pPr>
        <w:jc w:val="both"/>
        <w:ind w:left="260" w:right="266" w:firstLine="638"/>
        <w:spacing w:after="0" w:line="529" w:lineRule="exact"/>
        <w:rPr>
          <w:sz w:val="20"/>
          <w:szCs w:val="20"/>
          <w:color w:val="auto"/>
        </w:rPr>
      </w:pPr>
      <w:r>
        <w:rPr>
          <w:rFonts w:ascii="宋体" w:cs="宋体" w:eastAsia="宋体" w:hAnsi="宋体"/>
          <w:sz w:val="31"/>
          <w:szCs w:val="31"/>
          <w:color w:val="auto"/>
        </w:rPr>
        <w:t>统筹建设非机动车专用道。全面开展非机动车专用道专项规划和建设，结合城市道路建设和改造计划，成片、成网统筹建设非机动车专用道。保障非机动车专用道有效通行宽度。完善非机动车专用道的标识、监控系统，限制机动车进入非机动车专用道，保障人力自行车、电动自行车等非机动车路权。</w:t>
      </w:r>
    </w:p>
    <w:p>
      <w:pPr>
        <w:spacing w:after="0" w:line="276" w:lineRule="exact"/>
        <w:rPr>
          <w:sz w:val="20"/>
          <w:szCs w:val="20"/>
          <w:color w:val="auto"/>
        </w:rPr>
      </w:pPr>
    </w:p>
    <w:p>
      <w:pPr>
        <w:jc w:val="both"/>
        <w:ind w:left="260" w:right="266" w:firstLine="638"/>
        <w:spacing w:after="0" w:line="549" w:lineRule="exact"/>
        <w:rPr>
          <w:sz w:val="20"/>
          <w:szCs w:val="20"/>
          <w:color w:val="auto"/>
        </w:rPr>
      </w:pPr>
      <w:r>
        <w:rPr>
          <w:rFonts w:ascii="Arial" w:cs="Arial" w:eastAsia="Arial" w:hAnsi="Arial"/>
          <w:sz w:val="32"/>
          <w:szCs w:val="32"/>
          <w:color w:val="0C0C0C"/>
        </w:rPr>
        <w:t>4.</w:t>
      </w:r>
      <w:r>
        <w:rPr>
          <w:rFonts w:ascii="宋体" w:cs="宋体" w:eastAsia="宋体" w:hAnsi="宋体"/>
          <w:sz w:val="32"/>
          <w:szCs w:val="32"/>
          <w:color w:val="0C0C0C"/>
        </w:rPr>
        <w:t>强化停车设施建设改造。</w:t>
      </w:r>
      <w:r>
        <w:rPr>
          <w:rFonts w:ascii="宋体" w:cs="宋体" w:eastAsia="宋体" w:hAnsi="宋体"/>
          <w:sz w:val="32"/>
          <w:szCs w:val="32"/>
          <w:color w:val="000000"/>
        </w:rPr>
        <w:t>完善城市停车供给体系。根据城市发展需要，区分基本停车需求和出行停车需求，按照</w:t>
      </w:r>
      <w:r>
        <w:rPr>
          <w:rFonts w:ascii="Arial" w:cs="Arial" w:eastAsia="Arial" w:hAnsi="Arial"/>
          <w:sz w:val="32"/>
          <w:szCs w:val="32"/>
          <w:color w:val="000000"/>
        </w:rPr>
        <w:t>“</w:t>
      </w:r>
      <w:r>
        <w:rPr>
          <w:rFonts w:ascii="宋体" w:cs="宋体" w:eastAsia="宋体" w:hAnsi="宋体"/>
          <w:sz w:val="32"/>
          <w:szCs w:val="32"/>
          <w:color w:val="000000"/>
        </w:rPr>
        <w:t>有效保障基本停车需求，合理满足出行停车需求</w:t>
      </w:r>
      <w:r>
        <w:rPr>
          <w:rFonts w:ascii="Arial" w:cs="Arial" w:eastAsia="Arial" w:hAnsi="Arial"/>
          <w:sz w:val="32"/>
          <w:szCs w:val="32"/>
          <w:color w:val="000000"/>
        </w:rPr>
        <w:t>”</w:t>
      </w:r>
      <w:r>
        <w:rPr>
          <w:rFonts w:ascii="宋体" w:cs="宋体" w:eastAsia="宋体" w:hAnsi="宋体"/>
          <w:sz w:val="32"/>
          <w:szCs w:val="32"/>
          <w:color w:val="000000"/>
        </w:rPr>
        <w:t>的原则，采用差别化的停车供给策略，统筹布局城市停车设施，优化停车供给结构，因地制宜制定修订城市建筑物停车泊位配建标准，组织编制停车设施专项规划，推动停车设施合理布局，构建以配建停车设施为主体、路外公共停车设施为辅助、路内停车为补充的城市停车系统。</w:t>
      </w:r>
    </w:p>
    <w:p>
      <w:pPr>
        <w:spacing w:after="0" w:line="279" w:lineRule="exact"/>
        <w:rPr>
          <w:sz w:val="20"/>
          <w:szCs w:val="20"/>
          <w:color w:val="auto"/>
        </w:rPr>
      </w:pPr>
    </w:p>
    <w:p>
      <w:pPr>
        <w:jc w:val="both"/>
        <w:ind w:left="260" w:right="266" w:firstLine="638"/>
        <w:spacing w:after="0" w:line="451" w:lineRule="exact"/>
        <w:rPr>
          <w:sz w:val="20"/>
          <w:szCs w:val="20"/>
          <w:color w:val="auto"/>
        </w:rPr>
      </w:pPr>
      <w:r>
        <w:rPr>
          <w:rFonts w:ascii="宋体" w:cs="宋体" w:eastAsia="宋体" w:hAnsi="宋体"/>
          <w:sz w:val="31"/>
          <w:szCs w:val="31"/>
          <w:color w:val="auto"/>
        </w:rPr>
        <w:t>开展非机动车停车设施补短板。老旧城区在城市更新中应合理保障停车设施用地空间。推动适宜骑行城市新建居住区和</w:t>
      </w:r>
    </w:p>
    <w:p>
      <w:pPr>
        <w:sectPr>
          <w:pgSz w:w="11900" w:h="16838" w:orient="portrait"/>
          <w:cols w:equalWidth="0" w:num="1">
            <w:col w:w="9026"/>
          </w:cols>
          <w:pgMar w:left="1440" w:top="1440" w:right="1440" w:bottom="654" w:gutter="0" w:footer="0" w:header="0"/>
        </w:sectPr>
      </w:pPr>
    </w:p>
    <w:p>
      <w:pPr>
        <w:spacing w:after="0" w:line="317"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1"/>
          <w:szCs w:val="21"/>
          <w:color w:val="auto"/>
        </w:rPr>
        <w:t>14</w:t>
      </w:r>
    </w:p>
    <w:p>
      <w:pPr>
        <w:sectPr>
          <w:pgSz w:w="11900" w:h="16838" w:orient="portrait"/>
          <w:cols w:equalWidth="0" w:num="1">
            <w:col w:w="9026"/>
          </w:cols>
          <w:pgMar w:left="1440" w:top="1440" w:right="1440" w:bottom="654" w:gutter="0" w:footer="0" w:header="0"/>
          <w:type w:val="continuous"/>
        </w:sectPr>
      </w:pPr>
    </w:p>
    <w:bookmarkStart w:id="14" w:name="page15"/>
    <w:bookmarkEnd w:id="14"/>
    <w:p>
      <w:pPr>
        <w:spacing w:after="0" w:line="200" w:lineRule="exact"/>
        <w:rPr>
          <w:sz w:val="20"/>
          <w:szCs w:val="20"/>
          <w:color w:val="auto"/>
        </w:rPr>
      </w:pPr>
    </w:p>
    <w:p>
      <w:pPr>
        <w:spacing w:after="0" w:line="255" w:lineRule="exact"/>
        <w:rPr>
          <w:sz w:val="20"/>
          <w:szCs w:val="20"/>
          <w:color w:val="auto"/>
        </w:rPr>
      </w:pPr>
    </w:p>
    <w:p>
      <w:pPr>
        <w:jc w:val="both"/>
        <w:ind w:left="260" w:right="266"/>
        <w:spacing w:after="0" w:line="518" w:lineRule="exact"/>
        <w:rPr>
          <w:sz w:val="20"/>
          <w:szCs w:val="20"/>
          <w:color w:val="auto"/>
        </w:rPr>
      </w:pPr>
      <w:r>
        <w:rPr>
          <w:rFonts w:ascii="宋体" w:cs="宋体" w:eastAsia="宋体" w:hAnsi="宋体"/>
          <w:sz w:val="32"/>
          <w:szCs w:val="32"/>
          <w:color w:val="auto"/>
        </w:rPr>
        <w:t>公共建筑配建非机动车停车场，并以地面停车为主。鼓励发展非机动车驻车换乘，轨道交通车站、公共交通换乘枢纽应设置非机动车停车设施。强化非机动车停放管理，建设非机动车停车棚、停放架等设施。</w:t>
      </w:r>
    </w:p>
    <w:p>
      <w:pPr>
        <w:spacing w:after="0" w:line="269" w:lineRule="exact"/>
        <w:rPr>
          <w:sz w:val="20"/>
          <w:szCs w:val="20"/>
          <w:color w:val="auto"/>
        </w:rPr>
      </w:pPr>
    </w:p>
    <w:p>
      <w:pPr>
        <w:jc w:val="both"/>
        <w:ind w:left="260" w:right="266" w:firstLine="638"/>
        <w:spacing w:after="0" w:line="546" w:lineRule="exact"/>
        <w:rPr>
          <w:sz w:val="20"/>
          <w:szCs w:val="20"/>
          <w:color w:val="auto"/>
        </w:rPr>
      </w:pPr>
      <w:r>
        <w:rPr>
          <w:rFonts w:ascii="宋体" w:cs="宋体" w:eastAsia="宋体" w:hAnsi="宋体"/>
          <w:sz w:val="31"/>
          <w:szCs w:val="31"/>
          <w:color w:val="auto"/>
        </w:rPr>
        <w:t>增加城镇老旧小区停车泊位供给。结合城镇老旧小区改造规划、计划等，制订停车设施改善专项行动方案，通过扩建新建停车设施和内部挖潜增效、规范管理等手段，有效增加停车设施规模，提升泊位使用效率，逐步提升城市居住区停车泊位与小汽车拥有量的比例。鼓励建设停车楼、地下停车场、机械式立体停车库等集约化的停车设施。具备条件的居住区，建设电动自行车集中停放和充电场所，并做好消防安全管理。</w:t>
      </w:r>
    </w:p>
    <w:p>
      <w:pPr>
        <w:spacing w:after="0" w:line="271" w:lineRule="exact"/>
        <w:rPr>
          <w:sz w:val="20"/>
          <w:szCs w:val="20"/>
          <w:color w:val="auto"/>
        </w:rPr>
      </w:pPr>
    </w:p>
    <w:p>
      <w:pPr>
        <w:jc w:val="both"/>
        <w:ind w:left="260" w:right="266" w:firstLine="638"/>
        <w:spacing w:after="0" w:line="495" w:lineRule="exact"/>
        <w:rPr>
          <w:sz w:val="20"/>
          <w:szCs w:val="20"/>
          <w:color w:val="auto"/>
        </w:rPr>
      </w:pPr>
      <w:r>
        <w:rPr>
          <w:rFonts w:ascii="宋体" w:cs="宋体" w:eastAsia="宋体" w:hAnsi="宋体"/>
          <w:sz w:val="32"/>
          <w:szCs w:val="32"/>
          <w:color w:val="auto"/>
        </w:rPr>
        <w:t>加强停车场配套设施建设。新建停车位充分预留充电设施建设安装条件，针对停车位不足、增容困难的老旧居民区，鼓励在社区建设公共停车区充电桩。</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93980</wp:posOffset>
            </wp:positionH>
            <wp:positionV relativeFrom="paragraph">
              <wp:posOffset>46990</wp:posOffset>
            </wp:positionV>
            <wp:extent cx="5543550" cy="23393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543550" cy="2339340"/>
                    </a:xfrm>
                    <a:prstGeom prst="rect">
                      <a:avLst/>
                    </a:prstGeom>
                    <a:noFill/>
                  </pic:spPr>
                </pic:pic>
              </a:graphicData>
            </a:graphic>
          </wp:anchor>
        </w:drawing>
      </w:r>
    </w:p>
    <w:p>
      <w:pPr>
        <w:spacing w:after="0" w:line="235" w:lineRule="exact"/>
        <w:rPr>
          <w:sz w:val="20"/>
          <w:szCs w:val="20"/>
          <w:color w:val="auto"/>
        </w:rPr>
      </w:pPr>
    </w:p>
    <w:p>
      <w:pPr>
        <w:jc w:val="center"/>
        <w:ind w:right="6"/>
        <w:spacing w:after="0" w:line="343" w:lineRule="exact"/>
        <w:rPr>
          <w:sz w:val="20"/>
          <w:szCs w:val="20"/>
          <w:color w:val="auto"/>
        </w:rPr>
      </w:pPr>
      <w:r>
        <w:rPr>
          <w:rFonts w:ascii="黑体" w:cs="黑体" w:eastAsia="黑体" w:hAnsi="黑体"/>
          <w:sz w:val="30"/>
          <w:szCs w:val="30"/>
          <w:color w:val="0C0C0C"/>
        </w:rPr>
        <w:t>专栏 1：城市交通设施体系化与绿色化提升工程</w:t>
      </w:r>
    </w:p>
    <w:p>
      <w:pPr>
        <w:spacing w:after="0" w:line="184" w:lineRule="exact"/>
        <w:rPr>
          <w:sz w:val="20"/>
          <w:szCs w:val="20"/>
          <w:color w:val="auto"/>
        </w:rPr>
      </w:pPr>
    </w:p>
    <w:p>
      <w:pPr>
        <w:jc w:val="both"/>
        <w:ind w:left="260" w:right="266" w:firstLine="559"/>
        <w:spacing w:after="0" w:line="358" w:lineRule="exact"/>
        <w:rPr>
          <w:sz w:val="20"/>
          <w:szCs w:val="20"/>
          <w:color w:val="auto"/>
        </w:rPr>
      </w:pPr>
      <w:r>
        <w:rPr>
          <w:rFonts w:ascii="Arial" w:cs="Arial" w:eastAsia="Arial" w:hAnsi="Arial"/>
          <w:sz w:val="28"/>
          <w:szCs w:val="28"/>
          <w:color w:val="0C0C0C"/>
        </w:rPr>
        <w:t>1.</w:t>
      </w:r>
      <w:r>
        <w:rPr>
          <w:rFonts w:ascii="宋体" w:cs="宋体" w:eastAsia="宋体" w:hAnsi="宋体"/>
          <w:sz w:val="28"/>
          <w:szCs w:val="28"/>
          <w:color w:val="0C0C0C"/>
        </w:rPr>
        <w:t>城市轨道交通扩容与增效。根据城市规模分类推进城市轨道交通建设，新增城市轨道交通建成通车里程</w:t>
      </w:r>
      <w:r>
        <w:rPr>
          <w:rFonts w:ascii="Arial" w:cs="Arial" w:eastAsia="Arial" w:hAnsi="Arial"/>
          <w:sz w:val="28"/>
          <w:szCs w:val="28"/>
          <w:color w:val="0C0C0C"/>
        </w:rPr>
        <w:t xml:space="preserve"> 0.3 </w:t>
      </w:r>
      <w:r>
        <w:rPr>
          <w:rFonts w:ascii="宋体" w:cs="宋体" w:eastAsia="宋体" w:hAnsi="宋体"/>
          <w:sz w:val="28"/>
          <w:szCs w:val="28"/>
          <w:color w:val="0C0C0C"/>
        </w:rPr>
        <w:t>万公里。</w:t>
      </w:r>
    </w:p>
    <w:p>
      <w:pPr>
        <w:spacing w:after="0" w:line="163" w:lineRule="exact"/>
        <w:rPr>
          <w:sz w:val="20"/>
          <w:szCs w:val="20"/>
          <w:color w:val="auto"/>
        </w:rPr>
      </w:pPr>
    </w:p>
    <w:p>
      <w:pPr>
        <w:jc w:val="both"/>
        <w:ind w:left="260" w:right="266" w:firstLine="559"/>
        <w:spacing w:after="0" w:line="387" w:lineRule="exact"/>
        <w:rPr>
          <w:sz w:val="20"/>
          <w:szCs w:val="20"/>
          <w:color w:val="auto"/>
        </w:rPr>
      </w:pPr>
      <w:r>
        <w:rPr>
          <w:rFonts w:ascii="Arial" w:cs="Arial" w:eastAsia="Arial" w:hAnsi="Arial"/>
          <w:sz w:val="28"/>
          <w:szCs w:val="28"/>
          <w:color w:val="0C0C0C"/>
        </w:rPr>
        <w:t>2.</w:t>
      </w:r>
      <w:r>
        <w:rPr>
          <w:rFonts w:ascii="宋体" w:cs="宋体" w:eastAsia="宋体" w:hAnsi="宋体"/>
          <w:sz w:val="28"/>
          <w:szCs w:val="28"/>
          <w:color w:val="0C0C0C"/>
        </w:rPr>
        <w:t>城市道路和桥梁建设改造。以增加有效供给、优化级配结构为重点，新建和改造道路里程</w:t>
      </w:r>
      <w:r>
        <w:rPr>
          <w:rFonts w:ascii="Arial" w:cs="Arial" w:eastAsia="Arial" w:hAnsi="Arial"/>
          <w:sz w:val="28"/>
          <w:szCs w:val="28"/>
          <w:color w:val="0C0C0C"/>
        </w:rPr>
        <w:t xml:space="preserve"> 11.75 </w:t>
      </w:r>
      <w:r>
        <w:rPr>
          <w:rFonts w:ascii="宋体" w:cs="宋体" w:eastAsia="宋体" w:hAnsi="宋体"/>
          <w:sz w:val="28"/>
          <w:szCs w:val="28"/>
          <w:color w:val="0C0C0C"/>
        </w:rPr>
        <w:t>万公里，新增和改造城市桥梁</w:t>
      </w:r>
      <w:r>
        <w:rPr>
          <w:rFonts w:ascii="Arial" w:cs="Arial" w:eastAsia="Arial" w:hAnsi="Arial"/>
          <w:sz w:val="28"/>
          <w:szCs w:val="28"/>
          <w:color w:val="0C0C0C"/>
        </w:rPr>
        <w:t xml:space="preserve"> 1.45 </w:t>
      </w:r>
      <w:r>
        <w:rPr>
          <w:rFonts w:ascii="宋体" w:cs="宋体" w:eastAsia="宋体" w:hAnsi="宋体"/>
          <w:sz w:val="28"/>
          <w:szCs w:val="28"/>
          <w:color w:val="0C0C0C"/>
        </w:rPr>
        <w:t>万座。</w:t>
      </w:r>
    </w:p>
    <w:p>
      <w:pPr>
        <w:spacing w:after="0" w:line="162" w:lineRule="exact"/>
        <w:rPr>
          <w:sz w:val="20"/>
          <w:szCs w:val="20"/>
          <w:color w:val="auto"/>
        </w:rPr>
      </w:pPr>
    </w:p>
    <w:p>
      <w:pPr>
        <w:jc w:val="both"/>
        <w:ind w:left="260" w:right="266" w:firstLine="559"/>
        <w:spacing w:after="0" w:line="360" w:lineRule="exact"/>
        <w:rPr>
          <w:sz w:val="20"/>
          <w:szCs w:val="20"/>
          <w:color w:val="auto"/>
        </w:rPr>
      </w:pPr>
      <w:r>
        <w:rPr>
          <w:rFonts w:ascii="Arial" w:cs="Arial" w:eastAsia="Arial" w:hAnsi="Arial"/>
          <w:sz w:val="28"/>
          <w:szCs w:val="28"/>
          <w:color w:val="0C0C0C"/>
        </w:rPr>
        <w:t>3.</w:t>
      </w:r>
      <w:r>
        <w:rPr>
          <w:rFonts w:ascii="宋体" w:cs="宋体" w:eastAsia="宋体" w:hAnsi="宋体"/>
          <w:sz w:val="28"/>
          <w:szCs w:val="28"/>
          <w:color w:val="0C0C0C"/>
        </w:rPr>
        <w:t>人行道净化和非机动车专用道建设。新增实施人行道净化道路里程</w:t>
      </w:r>
      <w:r>
        <w:rPr>
          <w:rFonts w:ascii="Arial" w:cs="Arial" w:eastAsia="Arial" w:hAnsi="Arial"/>
          <w:sz w:val="28"/>
          <w:szCs w:val="28"/>
          <w:color w:val="0C0C0C"/>
        </w:rPr>
        <w:t xml:space="preserve"> 4.8 </w:t>
      </w:r>
      <w:r>
        <w:rPr>
          <w:rFonts w:ascii="宋体" w:cs="宋体" w:eastAsia="宋体" w:hAnsi="宋体"/>
          <w:sz w:val="28"/>
          <w:szCs w:val="28"/>
          <w:color w:val="0C0C0C"/>
        </w:rPr>
        <w:t>万公里，建设非机动车专用道</w:t>
      </w:r>
      <w:r>
        <w:rPr>
          <w:rFonts w:ascii="Arial" w:cs="Arial" w:eastAsia="Arial" w:hAnsi="Arial"/>
          <w:sz w:val="28"/>
          <w:szCs w:val="28"/>
          <w:color w:val="0C0C0C"/>
        </w:rPr>
        <w:t xml:space="preserve"> 0.59 </w:t>
      </w:r>
      <w:r>
        <w:rPr>
          <w:rFonts w:ascii="宋体" w:cs="宋体" w:eastAsia="宋体" w:hAnsi="宋体"/>
          <w:sz w:val="28"/>
          <w:szCs w:val="28"/>
          <w:color w:val="0C0C0C"/>
        </w:rPr>
        <w:t>万公里。</w:t>
      </w:r>
    </w:p>
    <w:p>
      <w:pPr>
        <w:spacing w:after="0" w:line="169" w:lineRule="exact"/>
        <w:rPr>
          <w:sz w:val="20"/>
          <w:szCs w:val="20"/>
          <w:color w:val="auto"/>
        </w:rPr>
      </w:pPr>
    </w:p>
    <w:p>
      <w:pPr>
        <w:jc w:val="both"/>
        <w:ind w:left="260" w:right="266" w:firstLine="209"/>
        <w:spacing w:after="0" w:line="321" w:lineRule="exact"/>
        <w:rPr>
          <w:sz w:val="20"/>
          <w:szCs w:val="20"/>
          <w:color w:val="auto"/>
        </w:rPr>
      </w:pPr>
      <w:r>
        <w:rPr>
          <w:rFonts w:ascii="宋体" w:cs="宋体" w:eastAsia="宋体" w:hAnsi="宋体"/>
          <w:sz w:val="21"/>
          <w:szCs w:val="21"/>
          <w:color w:val="0C0C0C"/>
        </w:rPr>
        <w:t>注：本《规划》各项重大行动专栏中提出的</w:t>
      </w:r>
      <w:r>
        <w:rPr>
          <w:rFonts w:ascii="Arial" w:cs="Arial" w:eastAsia="Arial" w:hAnsi="Arial"/>
          <w:sz w:val="21"/>
          <w:szCs w:val="21"/>
          <w:color w:val="0C0C0C"/>
        </w:rPr>
        <w:t>“</w:t>
      </w:r>
      <w:r>
        <w:rPr>
          <w:rFonts w:ascii="宋体" w:cs="宋体" w:eastAsia="宋体" w:hAnsi="宋体"/>
          <w:sz w:val="21"/>
          <w:szCs w:val="21"/>
          <w:color w:val="0C0C0C"/>
        </w:rPr>
        <w:t>十四五</w:t>
      </w:r>
      <w:r>
        <w:rPr>
          <w:rFonts w:ascii="Arial" w:cs="Arial" w:eastAsia="Arial" w:hAnsi="Arial"/>
          <w:sz w:val="21"/>
          <w:szCs w:val="21"/>
          <w:color w:val="0C0C0C"/>
        </w:rPr>
        <w:t>”</w:t>
      </w:r>
      <w:r>
        <w:rPr>
          <w:rFonts w:ascii="宋体" w:cs="宋体" w:eastAsia="宋体" w:hAnsi="宋体"/>
          <w:sz w:val="21"/>
          <w:szCs w:val="21"/>
          <w:color w:val="0C0C0C"/>
        </w:rPr>
        <w:t>期间拟开展完成的相关工程量，均为参照</w:t>
      </w:r>
      <w:r>
        <w:rPr>
          <w:rFonts w:ascii="Arial" w:cs="Arial" w:eastAsia="Arial" w:hAnsi="Arial"/>
          <w:sz w:val="21"/>
          <w:szCs w:val="21"/>
          <w:color w:val="0C0C0C"/>
        </w:rPr>
        <w:t>“</w:t>
      </w:r>
      <w:r>
        <w:rPr>
          <w:rFonts w:ascii="宋体" w:cs="宋体" w:eastAsia="宋体" w:hAnsi="宋体"/>
          <w:sz w:val="21"/>
          <w:szCs w:val="21"/>
          <w:color w:val="0C0C0C"/>
        </w:rPr>
        <w:t>十三五</w:t>
      </w:r>
      <w:r>
        <w:rPr>
          <w:rFonts w:ascii="Arial" w:cs="Arial" w:eastAsia="Arial" w:hAnsi="Arial"/>
          <w:sz w:val="21"/>
          <w:szCs w:val="21"/>
          <w:color w:val="0C0C0C"/>
        </w:rPr>
        <w:t>”</w:t>
      </w:r>
      <w:r>
        <w:rPr>
          <w:rFonts w:ascii="宋体" w:cs="宋体" w:eastAsia="宋体" w:hAnsi="宋体"/>
          <w:sz w:val="21"/>
          <w:szCs w:val="21"/>
          <w:color w:val="0C0C0C"/>
        </w:rPr>
        <w:t>期间完成的工程量情况，预计测算出</w:t>
      </w:r>
      <w:r>
        <w:rPr>
          <w:rFonts w:ascii="Arial" w:cs="Arial" w:eastAsia="Arial" w:hAnsi="Arial"/>
          <w:sz w:val="21"/>
          <w:szCs w:val="21"/>
          <w:color w:val="0C0C0C"/>
        </w:rPr>
        <w:t>“</w:t>
      </w:r>
      <w:r>
        <w:rPr>
          <w:rFonts w:ascii="宋体" w:cs="宋体" w:eastAsia="宋体" w:hAnsi="宋体"/>
          <w:sz w:val="21"/>
          <w:szCs w:val="21"/>
          <w:color w:val="0C0C0C"/>
        </w:rPr>
        <w:t>十四五</w:t>
      </w:r>
      <w:r>
        <w:rPr>
          <w:rFonts w:ascii="Arial" w:cs="Arial" w:eastAsia="Arial" w:hAnsi="Arial"/>
          <w:sz w:val="21"/>
          <w:szCs w:val="21"/>
          <w:color w:val="0C0C0C"/>
        </w:rPr>
        <w:t>”</w:t>
      </w:r>
      <w:r>
        <w:rPr>
          <w:rFonts w:ascii="宋体" w:cs="宋体" w:eastAsia="宋体" w:hAnsi="宋体"/>
          <w:sz w:val="21"/>
          <w:szCs w:val="21"/>
          <w:color w:val="0C0C0C"/>
        </w:rPr>
        <w:t>期间可能完成的工程量情况。</w:t>
      </w:r>
      <w:r>
        <w:rPr>
          <w:rFonts w:ascii="Arial" w:cs="Arial" w:eastAsia="Arial" w:hAnsi="Arial"/>
          <w:sz w:val="21"/>
          <w:szCs w:val="21"/>
          <w:color w:val="0C0C0C"/>
        </w:rPr>
        <w:t>“</w:t>
      </w:r>
      <w:r>
        <w:rPr>
          <w:rFonts w:ascii="宋体" w:cs="宋体" w:eastAsia="宋体" w:hAnsi="宋体"/>
          <w:sz w:val="21"/>
          <w:szCs w:val="21"/>
          <w:color w:val="0C0C0C"/>
        </w:rPr>
        <w:t>十四五</w:t>
      </w:r>
      <w:r>
        <w:rPr>
          <w:rFonts w:ascii="Arial" w:cs="Arial" w:eastAsia="Arial" w:hAnsi="Arial"/>
          <w:sz w:val="21"/>
          <w:szCs w:val="21"/>
          <w:color w:val="0C0C0C"/>
        </w:rPr>
        <w:t>”</w:t>
      </w:r>
      <w:r>
        <w:rPr>
          <w:rFonts w:ascii="宋体" w:cs="宋体" w:eastAsia="宋体" w:hAnsi="宋体"/>
          <w:sz w:val="21"/>
          <w:szCs w:val="21"/>
          <w:color w:val="0C0C0C"/>
        </w:rPr>
        <w:t>期间，城市基础设施建设工程量情况由各地结合本地实际，提出具体的工程建设内容、工程量规模和投资估算情况。</w:t>
      </w:r>
    </w:p>
    <w:p>
      <w:pPr>
        <w:sectPr>
          <w:pgSz w:w="11900" w:h="16838" w:orient="portrait"/>
          <w:cols w:equalWidth="0" w:num="1">
            <w:col w:w="9026"/>
          </w:cols>
          <w:pgMar w:left="1440" w:top="1440" w:right="1440" w:bottom="654" w:gutter="0" w:footer="0" w:header="0"/>
        </w:sectPr>
      </w:pPr>
    </w:p>
    <w:p>
      <w:pPr>
        <w:spacing w:after="0" w:line="200" w:lineRule="exact"/>
        <w:rPr>
          <w:sz w:val="20"/>
          <w:szCs w:val="20"/>
          <w:color w:val="auto"/>
        </w:rPr>
      </w:pPr>
    </w:p>
    <w:p>
      <w:pPr>
        <w:spacing w:after="0" w:line="225"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1"/>
          <w:szCs w:val="21"/>
          <w:color w:val="auto"/>
        </w:rPr>
        <w:t>15</w:t>
      </w:r>
    </w:p>
    <w:p>
      <w:pPr>
        <w:sectPr>
          <w:pgSz w:w="11900" w:h="16838" w:orient="portrait"/>
          <w:cols w:equalWidth="0" w:num="1">
            <w:col w:w="9026"/>
          </w:cols>
          <w:pgMar w:left="1440" w:top="1440" w:right="1440" w:bottom="654" w:gutter="0" w:footer="0" w:header="0"/>
          <w:type w:val="continuous"/>
        </w:sectPr>
      </w:pPr>
    </w:p>
    <w:bookmarkStart w:id="15" w:name="page16"/>
    <w:bookmarkEnd w:id="15"/>
    <w:p>
      <w:pPr>
        <w:spacing w:after="0" w:line="200" w:lineRule="exact"/>
        <w:rPr>
          <w:sz w:val="20"/>
          <w:szCs w:val="20"/>
          <w:color w:val="auto"/>
        </w:rPr>
      </w:pPr>
    </w:p>
    <w:p>
      <w:pPr>
        <w:spacing w:after="0" w:line="207"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（二）城市水系统体系化建设行动。</w:t>
      </w:r>
    </w:p>
    <w:p>
      <w:pPr>
        <w:spacing w:after="0" w:line="269" w:lineRule="exact"/>
        <w:rPr>
          <w:sz w:val="20"/>
          <w:szCs w:val="20"/>
          <w:color w:val="auto"/>
        </w:rPr>
      </w:pPr>
    </w:p>
    <w:p>
      <w:pPr>
        <w:jc w:val="both"/>
        <w:ind w:left="260" w:right="126" w:firstLine="638"/>
        <w:spacing w:after="0" w:line="545" w:lineRule="exact"/>
        <w:rPr>
          <w:sz w:val="20"/>
          <w:szCs w:val="20"/>
          <w:color w:val="auto"/>
        </w:rPr>
      </w:pPr>
      <w:r>
        <w:rPr>
          <w:rFonts w:ascii="Arial" w:cs="Arial" w:eastAsia="Arial" w:hAnsi="Arial"/>
          <w:sz w:val="32"/>
          <w:szCs w:val="32"/>
          <w:color w:val="0C0C0C"/>
        </w:rPr>
        <w:t>1.</w:t>
      </w:r>
      <w:r>
        <w:rPr>
          <w:rFonts w:ascii="宋体" w:cs="宋体" w:eastAsia="宋体" w:hAnsi="宋体"/>
          <w:sz w:val="32"/>
          <w:szCs w:val="32"/>
          <w:color w:val="0C0C0C"/>
        </w:rPr>
        <w:t>因地制宜积极推进海绵城市建设。</w:t>
      </w:r>
      <w:r>
        <w:rPr>
          <w:rFonts w:ascii="宋体" w:cs="宋体" w:eastAsia="宋体" w:hAnsi="宋体"/>
          <w:sz w:val="32"/>
          <w:szCs w:val="32"/>
          <w:color w:val="000000"/>
        </w:rPr>
        <w:t>城市新区坚持目标导向，因地制宜合理选用</w:t>
      </w:r>
      <w:r>
        <w:rPr>
          <w:rFonts w:ascii="Arial" w:cs="Arial" w:eastAsia="Arial" w:hAnsi="Arial"/>
          <w:sz w:val="32"/>
          <w:szCs w:val="32"/>
          <w:color w:val="000000"/>
        </w:rPr>
        <w:t>“</w:t>
      </w:r>
      <w:r>
        <w:rPr>
          <w:rFonts w:ascii="宋体" w:cs="宋体" w:eastAsia="宋体" w:hAnsi="宋体"/>
          <w:sz w:val="32"/>
          <w:szCs w:val="32"/>
          <w:color w:val="000000"/>
        </w:rPr>
        <w:t>渗、滞、蓄、净、用、排</w:t>
      </w:r>
      <w:r>
        <w:rPr>
          <w:rFonts w:ascii="Arial" w:cs="Arial" w:eastAsia="Arial" w:hAnsi="Arial"/>
          <w:sz w:val="32"/>
          <w:szCs w:val="32"/>
          <w:color w:val="000000"/>
        </w:rPr>
        <w:t>”</w:t>
      </w:r>
      <w:r>
        <w:rPr>
          <w:rFonts w:ascii="宋体" w:cs="宋体" w:eastAsia="宋体" w:hAnsi="宋体"/>
          <w:sz w:val="32"/>
          <w:szCs w:val="32"/>
          <w:color w:val="000000"/>
        </w:rPr>
        <w:t>等措施，把海绵城市建设理念落实到城市规划建设管理全过程。老旧城区结合城市更新、城市河湖生态治理、城镇老旧小区改造、地下基础设施改造建设、城市防洪排涝设施建设等，以城区内涝积水治理、黑臭水体治理、雨水收集利用等为突破口，推进区域整体治理。</w:t>
      </w:r>
    </w:p>
    <w:p>
      <w:pPr>
        <w:spacing w:after="0" w:line="273" w:lineRule="exact"/>
        <w:rPr>
          <w:sz w:val="20"/>
          <w:szCs w:val="20"/>
          <w:color w:val="auto"/>
        </w:rPr>
      </w:pPr>
    </w:p>
    <w:p>
      <w:pPr>
        <w:jc w:val="both"/>
        <w:ind w:left="260" w:right="266" w:firstLine="638"/>
        <w:spacing w:after="0" w:line="516" w:lineRule="exact"/>
        <w:rPr>
          <w:sz w:val="20"/>
          <w:szCs w:val="20"/>
          <w:color w:val="auto"/>
        </w:rPr>
      </w:pPr>
      <w:r>
        <w:rPr>
          <w:rFonts w:ascii="Arial" w:cs="Arial" w:eastAsia="Arial" w:hAnsi="Arial"/>
          <w:sz w:val="32"/>
          <w:szCs w:val="32"/>
          <w:color w:val="0C0C0C"/>
        </w:rPr>
        <w:t>2.</w:t>
      </w:r>
      <w:r>
        <w:rPr>
          <w:rFonts w:ascii="宋体" w:cs="宋体" w:eastAsia="宋体" w:hAnsi="宋体"/>
          <w:sz w:val="32"/>
          <w:szCs w:val="32"/>
          <w:color w:val="0C0C0C"/>
        </w:rPr>
        <w:t>加强城市供水安全保障。</w:t>
      </w:r>
      <w:r>
        <w:rPr>
          <w:rFonts w:ascii="宋体" w:cs="宋体" w:eastAsia="宋体" w:hAnsi="宋体"/>
          <w:sz w:val="32"/>
          <w:szCs w:val="32"/>
          <w:color w:val="000000"/>
        </w:rPr>
        <w:t>推进全流程供水设施升级改造。加快对水厂、管网和加压调蓄设施的更新改造，保障用户龙头水水质安全。有条件的地区要设置水量、水质、水压等指标在线监测，加强供水安全风险管理。</w:t>
      </w:r>
    </w:p>
    <w:p>
      <w:pPr>
        <w:spacing w:after="0" w:line="272" w:lineRule="exact"/>
        <w:rPr>
          <w:sz w:val="20"/>
          <w:szCs w:val="20"/>
          <w:color w:val="auto"/>
        </w:rPr>
      </w:pPr>
    </w:p>
    <w:p>
      <w:pPr>
        <w:jc w:val="both"/>
        <w:ind w:left="260" w:right="126" w:firstLine="638"/>
        <w:spacing w:after="0" w:line="545" w:lineRule="exact"/>
        <w:rPr>
          <w:sz w:val="20"/>
          <w:szCs w:val="20"/>
          <w:color w:val="auto"/>
        </w:rPr>
      </w:pPr>
      <w:r>
        <w:rPr>
          <w:rFonts w:ascii="宋体" w:cs="宋体" w:eastAsia="宋体" w:hAnsi="宋体"/>
          <w:sz w:val="31"/>
          <w:szCs w:val="31"/>
          <w:color w:val="auto"/>
        </w:rPr>
        <w:t>强化城市节水工作。实施国家节水行动，推进节水型城市建设。实施供水管网漏损治理工程，推进老旧管网改造，开展供水管网分区计量管理，控制管网漏损。推进节水型单位、企业和小区建设，推动建筑节水，推广普及节水器具。加快推动城市生活污水资源化利用，鼓励将再生水优先用于生态补水、工业生产、市政杂用等方面，强化再生水的多元利用、梯级利用和安全利用，促进再生水成为缺水城市的</w:t>
      </w:r>
      <w:r>
        <w:rPr>
          <w:rFonts w:ascii="Arial" w:cs="Arial" w:eastAsia="Arial" w:hAnsi="Arial"/>
          <w:sz w:val="31"/>
          <w:szCs w:val="31"/>
          <w:color w:val="auto"/>
        </w:rPr>
        <w:t>“</w:t>
      </w:r>
      <w:r>
        <w:rPr>
          <w:rFonts w:ascii="宋体" w:cs="宋体" w:eastAsia="宋体" w:hAnsi="宋体"/>
          <w:sz w:val="31"/>
          <w:szCs w:val="31"/>
          <w:color w:val="auto"/>
        </w:rPr>
        <w:t>第二水源</w:t>
      </w:r>
      <w:r>
        <w:rPr>
          <w:rFonts w:ascii="Arial" w:cs="Arial" w:eastAsia="Arial" w:hAnsi="Arial"/>
          <w:sz w:val="31"/>
          <w:szCs w:val="31"/>
          <w:color w:val="auto"/>
        </w:rPr>
        <w:t>”</w:t>
      </w:r>
      <w:r>
        <w:rPr>
          <w:rFonts w:ascii="宋体" w:cs="宋体" w:eastAsia="宋体" w:hAnsi="宋体"/>
          <w:sz w:val="31"/>
          <w:szCs w:val="31"/>
          <w:color w:val="auto"/>
        </w:rPr>
        <w:t>。</w:t>
      </w:r>
    </w:p>
    <w:p>
      <w:pPr>
        <w:spacing w:after="0" w:line="279" w:lineRule="exact"/>
        <w:rPr>
          <w:sz w:val="20"/>
          <w:szCs w:val="20"/>
          <w:color w:val="auto"/>
        </w:rPr>
      </w:pPr>
    </w:p>
    <w:p>
      <w:pPr>
        <w:jc w:val="both"/>
        <w:ind w:left="260" w:right="266" w:firstLine="638"/>
        <w:spacing w:after="0" w:line="518" w:lineRule="exact"/>
        <w:rPr>
          <w:sz w:val="20"/>
          <w:szCs w:val="20"/>
          <w:color w:val="auto"/>
        </w:rPr>
      </w:pPr>
      <w:r>
        <w:rPr>
          <w:rFonts w:ascii="宋体" w:cs="宋体" w:eastAsia="宋体" w:hAnsi="宋体"/>
          <w:sz w:val="32"/>
          <w:szCs w:val="32"/>
          <w:color w:val="auto"/>
        </w:rPr>
        <w:t>提高城市应急供水救援能力建设。构建城市多水源供水格局，加强供水应急能力建设，提高水源突发污染和其他灾害发生时城市供水系统的应对水平。加强国家供水应急救援基地设施运行维护资金保障，提高城市供水应急救援能力。</w:t>
      </w:r>
    </w:p>
    <w:p>
      <w:pPr>
        <w:sectPr>
          <w:pgSz w:w="11900" w:h="16838" w:orient="portrait"/>
          <w:cols w:equalWidth="0" w:num="1">
            <w:col w:w="9026"/>
          </w:cols>
          <w:pgMar w:left="1440" w:top="1440" w:right="1440" w:bottom="654" w:gutter="0" w:footer="0" w:header="0"/>
        </w:sectPr>
      </w:pPr>
    </w:p>
    <w:p>
      <w:pPr>
        <w:spacing w:after="0" w:line="317"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1"/>
          <w:szCs w:val="21"/>
          <w:color w:val="auto"/>
        </w:rPr>
        <w:t>16</w:t>
      </w:r>
    </w:p>
    <w:p>
      <w:pPr>
        <w:sectPr>
          <w:pgSz w:w="11900" w:h="16838" w:orient="portrait"/>
          <w:cols w:equalWidth="0" w:num="1">
            <w:col w:w="9026"/>
          </w:cols>
          <w:pgMar w:left="1440" w:top="1440" w:right="1440" w:bottom="654" w:gutter="0" w:footer="0" w:header="0"/>
          <w:type w:val="continuous"/>
        </w:sectPr>
      </w:pPr>
    </w:p>
    <w:bookmarkStart w:id="16" w:name="page17"/>
    <w:bookmarkEnd w:id="16"/>
    <w:p>
      <w:pPr>
        <w:spacing w:after="0" w:line="200" w:lineRule="exact"/>
        <w:rPr>
          <w:sz w:val="20"/>
          <w:szCs w:val="20"/>
          <w:color w:val="auto"/>
        </w:rPr>
      </w:pPr>
    </w:p>
    <w:p>
      <w:pPr>
        <w:spacing w:after="0" w:line="255" w:lineRule="exact"/>
        <w:rPr>
          <w:sz w:val="20"/>
          <w:szCs w:val="20"/>
          <w:color w:val="auto"/>
        </w:rPr>
      </w:pPr>
    </w:p>
    <w:p>
      <w:pPr>
        <w:ind w:left="260" w:right="106" w:firstLine="638"/>
        <w:spacing w:after="0" w:line="566" w:lineRule="exact"/>
        <w:rPr>
          <w:sz w:val="20"/>
          <w:szCs w:val="20"/>
          <w:color w:val="auto"/>
        </w:rPr>
      </w:pPr>
      <w:r>
        <w:rPr>
          <w:rFonts w:ascii="Arial" w:cs="Arial" w:eastAsia="Arial" w:hAnsi="Arial"/>
          <w:sz w:val="32"/>
          <w:szCs w:val="32"/>
          <w:color w:val="0C0C0C"/>
        </w:rPr>
        <w:t>3.</w:t>
      </w:r>
      <w:r>
        <w:rPr>
          <w:rFonts w:ascii="宋体" w:cs="宋体" w:eastAsia="宋体" w:hAnsi="宋体"/>
          <w:sz w:val="32"/>
          <w:szCs w:val="32"/>
          <w:color w:val="0C0C0C"/>
        </w:rPr>
        <w:t>实施城市内涝系统治理。</w:t>
      </w:r>
      <w:r>
        <w:rPr>
          <w:rFonts w:ascii="宋体" w:cs="宋体" w:eastAsia="宋体" w:hAnsi="宋体"/>
          <w:sz w:val="32"/>
          <w:szCs w:val="32"/>
          <w:color w:val="000000"/>
        </w:rPr>
        <w:t>用统筹的方式、系统的方法提升城市内涝防治水平，基本形成符合要求的城市排水防涝工程体系。实施雨水源头减排工程，落实海绵城市建设理念，因地制宜使用透水铺装，增加下沉式绿地、植草沟、人工湿地等软性透水地面，提高硬化地面中可渗透面积比例，源头削减雨水径流。实施排水管网工程，新建排水管网原则上应尽可能达到国家建设标准的上限要求，改造易造成积水内涝问题排水管网，修复破损和功能失效的排水防涝设施。实施排涝通道工程，开展城市建成区河道、排洪沟等整治工程，以及</w:t>
      </w:r>
      <w:r>
        <w:rPr>
          <w:rFonts w:ascii="Arial" w:cs="Arial" w:eastAsia="Arial" w:hAnsi="Arial"/>
          <w:sz w:val="32"/>
          <w:szCs w:val="32"/>
          <w:color w:val="000000"/>
        </w:rPr>
        <w:t>“</w:t>
      </w:r>
      <w:r>
        <w:rPr>
          <w:rFonts w:ascii="宋体" w:cs="宋体" w:eastAsia="宋体" w:hAnsi="宋体"/>
          <w:sz w:val="32"/>
          <w:szCs w:val="32"/>
          <w:color w:val="000000"/>
        </w:rPr>
        <w:t>卡脖子</w:t>
      </w:r>
      <w:r>
        <w:rPr>
          <w:rFonts w:ascii="Arial" w:cs="Arial" w:eastAsia="Arial" w:hAnsi="Arial"/>
          <w:sz w:val="32"/>
          <w:szCs w:val="32"/>
          <w:color w:val="000000"/>
        </w:rPr>
        <w:t>”</w:t>
      </w:r>
      <w:r>
        <w:rPr>
          <w:rFonts w:ascii="宋体" w:cs="宋体" w:eastAsia="宋体" w:hAnsi="宋体"/>
          <w:sz w:val="32"/>
          <w:szCs w:val="32"/>
          <w:color w:val="000000"/>
        </w:rPr>
        <w:t>排涝通道治理工程，提高行洪排涝能力，确保与城市排水管网系统排水能力相匹配。实施雨水调蓄工程，严查违法违规占用河湖、水库、山塘、蓄滞洪空间和排涝通道等的建筑物、构筑物，加快恢复并增加城市水空间，扩展城市及周边自然调蓄空间，保证足够的调蓄容积和功能。因地制宜、集散结合建设雨水调蓄设施，发挥削峰错峰作用。</w:t>
      </w:r>
    </w:p>
    <w:p>
      <w:pPr>
        <w:spacing w:after="0" w:line="283" w:lineRule="exact"/>
        <w:rPr>
          <w:sz w:val="20"/>
          <w:szCs w:val="20"/>
          <w:color w:val="auto"/>
        </w:rPr>
      </w:pPr>
    </w:p>
    <w:p>
      <w:pPr>
        <w:jc w:val="both"/>
        <w:ind w:left="260" w:right="126" w:firstLine="638"/>
        <w:spacing w:after="0" w:line="539" w:lineRule="exact"/>
        <w:rPr>
          <w:sz w:val="20"/>
          <w:szCs w:val="20"/>
          <w:color w:val="auto"/>
        </w:rPr>
      </w:pPr>
      <w:r>
        <w:rPr>
          <w:rFonts w:ascii="宋体" w:cs="宋体" w:eastAsia="宋体" w:hAnsi="宋体"/>
          <w:sz w:val="32"/>
          <w:szCs w:val="32"/>
          <w:color w:val="auto"/>
        </w:rPr>
        <w:t>完善应急管理体系。完善城市防洪与内涝防范相关应急预案，明确预警等级内涵与处置措施，加强排水应急队伍建设和物资储备，提升城市应急处置能力。加快推进城市防洪、排水防涝信息化建设，建立健全城区水系、排水管网与周边江河湖海、水库等</w:t>
      </w:r>
      <w:r>
        <w:rPr>
          <w:rFonts w:ascii="Arial" w:cs="Arial" w:eastAsia="Arial" w:hAnsi="Arial"/>
          <w:sz w:val="32"/>
          <w:szCs w:val="32"/>
          <w:color w:val="auto"/>
        </w:rPr>
        <w:t>“</w:t>
      </w:r>
      <w:r>
        <w:rPr>
          <w:rFonts w:ascii="宋体" w:cs="宋体" w:eastAsia="宋体" w:hAnsi="宋体"/>
          <w:sz w:val="32"/>
          <w:szCs w:val="32"/>
          <w:color w:val="auto"/>
        </w:rPr>
        <w:t>联排联调</w:t>
      </w:r>
      <w:r>
        <w:rPr>
          <w:rFonts w:ascii="Arial" w:cs="Arial" w:eastAsia="Arial" w:hAnsi="Arial"/>
          <w:sz w:val="32"/>
          <w:szCs w:val="32"/>
          <w:color w:val="auto"/>
        </w:rPr>
        <w:t>”</w:t>
      </w:r>
      <w:r>
        <w:rPr>
          <w:rFonts w:ascii="宋体" w:cs="宋体" w:eastAsia="宋体" w:hAnsi="宋体"/>
          <w:sz w:val="32"/>
          <w:szCs w:val="32"/>
          <w:color w:val="auto"/>
        </w:rPr>
        <w:t>运行管理模式，提升城市防洪预报、预警、预演、预案能力。</w:t>
      </w:r>
    </w:p>
    <w:p>
      <w:pPr>
        <w:spacing w:after="0" w:line="201"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0C0C0C"/>
        </w:rPr>
        <w:t>4.</w:t>
      </w:r>
      <w:r>
        <w:rPr>
          <w:rFonts w:ascii="宋体" w:cs="宋体" w:eastAsia="宋体" w:hAnsi="宋体"/>
          <w:sz w:val="32"/>
          <w:szCs w:val="32"/>
          <w:color w:val="0C0C0C"/>
        </w:rPr>
        <w:t>推进城市污水处理提质增效。</w:t>
      </w:r>
      <w:r>
        <w:rPr>
          <w:rFonts w:ascii="宋体" w:cs="宋体" w:eastAsia="宋体" w:hAnsi="宋体"/>
          <w:sz w:val="32"/>
          <w:szCs w:val="32"/>
          <w:color w:val="000000"/>
        </w:rPr>
        <w:t>推进城镇污水管网全覆</w:t>
      </w:r>
    </w:p>
    <w:p>
      <w:pPr>
        <w:spacing w:after="0" w:line="232"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盖。加快老旧城区、城中村和城乡结合部的生活污水收集处理</w:t>
      </w:r>
    </w:p>
    <w:p>
      <w:pPr>
        <w:sectPr>
          <w:pgSz w:w="11900" w:h="16838" w:orient="portrait"/>
          <w:cols w:equalWidth="0" w:num="1">
            <w:col w:w="9026"/>
          </w:cols>
          <w:pgMar w:left="1440" w:top="1440" w:right="1440" w:bottom="654" w:gutter="0" w:footer="0" w:header="0"/>
        </w:sectPr>
      </w:pPr>
    </w:p>
    <w:p>
      <w:pPr>
        <w:spacing w:after="0" w:line="316"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1"/>
          <w:szCs w:val="21"/>
          <w:color w:val="auto"/>
        </w:rPr>
        <w:t>17</w:t>
      </w:r>
    </w:p>
    <w:p>
      <w:pPr>
        <w:sectPr>
          <w:pgSz w:w="11900" w:h="16838" w:orient="portrait"/>
          <w:cols w:equalWidth="0" w:num="1">
            <w:col w:w="9026"/>
          </w:cols>
          <w:pgMar w:left="1440" w:top="1440" w:right="1440" w:bottom="654" w:gutter="0" w:footer="0" w:header="0"/>
          <w:type w:val="continuous"/>
        </w:sectPr>
      </w:pPr>
    </w:p>
    <w:bookmarkStart w:id="17" w:name="page18"/>
    <w:bookmarkEnd w:id="17"/>
    <w:p>
      <w:pPr>
        <w:spacing w:after="0" w:line="200" w:lineRule="exact"/>
        <w:rPr>
          <w:sz w:val="20"/>
          <w:szCs w:val="20"/>
          <w:color w:val="auto"/>
        </w:rPr>
      </w:pPr>
    </w:p>
    <w:p>
      <w:pPr>
        <w:spacing w:after="0" w:line="255" w:lineRule="exact"/>
        <w:rPr>
          <w:sz w:val="20"/>
          <w:szCs w:val="20"/>
          <w:color w:val="auto"/>
        </w:rPr>
      </w:pPr>
    </w:p>
    <w:p>
      <w:pPr>
        <w:ind w:left="260" w:right="106"/>
        <w:spacing w:after="0" w:line="545" w:lineRule="exact"/>
        <w:rPr>
          <w:sz w:val="20"/>
          <w:szCs w:val="20"/>
          <w:color w:val="auto"/>
        </w:rPr>
      </w:pPr>
      <w:r>
        <w:rPr>
          <w:rFonts w:ascii="宋体" w:cs="宋体" w:eastAsia="宋体" w:hAnsi="宋体"/>
          <w:sz w:val="30"/>
          <w:szCs w:val="30"/>
          <w:color w:val="auto"/>
        </w:rPr>
        <w:t>设施建设，消除空白区。城市污水处理厂进水生化需氧量（</w:t>
      </w:r>
      <w:r>
        <w:rPr>
          <w:rFonts w:ascii="Arial" w:cs="Arial" w:eastAsia="Arial" w:hAnsi="Arial"/>
          <w:sz w:val="30"/>
          <w:szCs w:val="30"/>
          <w:color w:val="auto"/>
        </w:rPr>
        <w:t>BOD</w:t>
      </w:r>
      <w:r>
        <w:rPr>
          <w:rFonts w:ascii="宋体" w:cs="宋体" w:eastAsia="宋体" w:hAnsi="宋体"/>
          <w:sz w:val="30"/>
          <w:szCs w:val="30"/>
          <w:color w:val="auto"/>
        </w:rPr>
        <w:t>）浓度低于</w:t>
      </w:r>
      <w:r>
        <w:rPr>
          <w:rFonts w:ascii="Arial" w:cs="Arial" w:eastAsia="Arial" w:hAnsi="Arial"/>
          <w:sz w:val="30"/>
          <w:szCs w:val="30"/>
          <w:color w:val="auto"/>
        </w:rPr>
        <w:t xml:space="preserve"> 100mg/L </w:t>
      </w:r>
      <w:r>
        <w:rPr>
          <w:rFonts w:ascii="宋体" w:cs="宋体" w:eastAsia="宋体" w:hAnsi="宋体"/>
          <w:sz w:val="30"/>
          <w:szCs w:val="30"/>
          <w:color w:val="auto"/>
        </w:rPr>
        <w:t>的，围绕服务片区管网开展</w:t>
      </w:r>
      <w:r>
        <w:rPr>
          <w:rFonts w:ascii="Arial" w:cs="Arial" w:eastAsia="Arial" w:hAnsi="Arial"/>
          <w:sz w:val="30"/>
          <w:szCs w:val="30"/>
          <w:color w:val="auto"/>
        </w:rPr>
        <w:t>“</w:t>
      </w:r>
      <w:r>
        <w:rPr>
          <w:rFonts w:ascii="宋体" w:cs="宋体" w:eastAsia="宋体" w:hAnsi="宋体"/>
          <w:sz w:val="30"/>
          <w:szCs w:val="30"/>
          <w:color w:val="auto"/>
        </w:rPr>
        <w:t>一厂一策</w:t>
      </w:r>
      <w:r>
        <w:rPr>
          <w:rFonts w:ascii="Arial" w:cs="Arial" w:eastAsia="Arial" w:hAnsi="Arial"/>
          <w:sz w:val="30"/>
          <w:szCs w:val="30"/>
          <w:color w:val="auto"/>
        </w:rPr>
        <w:t>”</w:t>
      </w:r>
      <w:r>
        <w:rPr>
          <w:rFonts w:ascii="宋体" w:cs="宋体" w:eastAsia="宋体" w:hAnsi="宋体"/>
          <w:sz w:val="30"/>
          <w:szCs w:val="30"/>
          <w:color w:val="auto"/>
        </w:rPr>
        <w:t>系统化整治，实施清污分流，避免河水、山泉水等混入管网，全面提升现有污水收集处理设施效能。因地制宜采取溢流口改造、截流井改造、破损修补、管材更换、增设调蓄设施、雨污分流改造、快速净化等措施，降低合流制溢流污染。优先采用优质管材，推行混凝土现浇或成品检查井，提升管网建设质量。</w:t>
      </w:r>
    </w:p>
    <w:p>
      <w:pPr>
        <w:spacing w:after="0" w:line="277" w:lineRule="exact"/>
        <w:rPr>
          <w:sz w:val="20"/>
          <w:szCs w:val="20"/>
          <w:color w:val="auto"/>
        </w:rPr>
      </w:pPr>
    </w:p>
    <w:p>
      <w:pPr>
        <w:jc w:val="both"/>
        <w:ind w:left="260" w:right="126" w:firstLine="638"/>
        <w:spacing w:after="0" w:line="554" w:lineRule="exact"/>
        <w:rPr>
          <w:sz w:val="20"/>
          <w:szCs w:val="20"/>
          <w:color w:val="auto"/>
        </w:rPr>
      </w:pPr>
      <w:r>
        <w:rPr>
          <w:rFonts w:ascii="宋体" w:cs="宋体" w:eastAsia="宋体" w:hAnsi="宋体"/>
          <w:sz w:val="32"/>
          <w:szCs w:val="32"/>
          <w:color w:val="auto"/>
        </w:rPr>
        <w:t>推动污水处理能力提升。按照因地制宜、查漏补缺、有序建设、适度超前的原则，统筹考虑城市人口容量、分布和迁徙趋势，坚持集中与分散相结合，科学确定城镇污水处理厂的布局、规模及服务范围。京津冀、粤港澳大湾区、黄河干流沿线城市和长江经济带城市和县城实现生活污水集中处理设施能力全覆盖。缺水地区、水环境敏感区域，要根据水资源禀赋、水环境保护目标和技术经济条件，开展污水处理厂提升改造，积极推动污水资源化利用，选择缺水城市开展污水资源化利用试点示范。</w:t>
      </w:r>
    </w:p>
    <w:p>
      <w:pPr>
        <w:spacing w:after="0" w:line="274" w:lineRule="exact"/>
        <w:rPr>
          <w:sz w:val="20"/>
          <w:szCs w:val="20"/>
          <w:color w:val="auto"/>
        </w:rPr>
      </w:pPr>
    </w:p>
    <w:p>
      <w:pPr>
        <w:jc w:val="both"/>
        <w:ind w:left="260" w:right="266" w:firstLine="638"/>
        <w:spacing w:after="0" w:line="545" w:lineRule="exact"/>
        <w:rPr>
          <w:sz w:val="20"/>
          <w:szCs w:val="20"/>
          <w:color w:val="auto"/>
        </w:rPr>
      </w:pPr>
      <w:r>
        <w:rPr>
          <w:rFonts w:ascii="宋体" w:cs="宋体" w:eastAsia="宋体" w:hAnsi="宋体"/>
          <w:sz w:val="31"/>
          <w:szCs w:val="31"/>
          <w:color w:val="auto"/>
        </w:rPr>
        <w:t>提升污泥无害化处置和资源化利用水平。限制未经脱水处理达标的污泥在垃圾填埋场填埋。鼓励采用厌氧消化、好氧发酵等方式处理污泥，经无害化处理满足相关标准后，用于土地改良、荒地造林、苗木抚育、园林绿化和农业利用。在土地资源紧缺的大中型城市鼓励采用</w:t>
      </w:r>
      <w:r>
        <w:rPr>
          <w:rFonts w:ascii="Arial" w:cs="Arial" w:eastAsia="Arial" w:hAnsi="Arial"/>
          <w:sz w:val="31"/>
          <w:szCs w:val="31"/>
          <w:color w:val="auto"/>
        </w:rPr>
        <w:t>“</w:t>
      </w:r>
      <w:r>
        <w:rPr>
          <w:rFonts w:ascii="宋体" w:cs="宋体" w:eastAsia="宋体" w:hAnsi="宋体"/>
          <w:sz w:val="31"/>
          <w:szCs w:val="31"/>
          <w:color w:val="auto"/>
        </w:rPr>
        <w:t>生物质利用</w:t>
      </w:r>
      <w:r>
        <w:rPr>
          <w:rFonts w:ascii="Arial" w:cs="Arial" w:eastAsia="Arial" w:hAnsi="Arial"/>
          <w:sz w:val="31"/>
          <w:szCs w:val="31"/>
          <w:color w:val="auto"/>
        </w:rPr>
        <w:t>+</w:t>
      </w:r>
      <w:r>
        <w:rPr>
          <w:rFonts w:ascii="宋体" w:cs="宋体" w:eastAsia="宋体" w:hAnsi="宋体"/>
          <w:sz w:val="31"/>
          <w:szCs w:val="31"/>
          <w:color w:val="auto"/>
        </w:rPr>
        <w:t>焚烧</w:t>
      </w:r>
      <w:r>
        <w:rPr>
          <w:rFonts w:ascii="Arial" w:cs="Arial" w:eastAsia="Arial" w:hAnsi="Arial"/>
          <w:sz w:val="31"/>
          <w:szCs w:val="31"/>
          <w:color w:val="auto"/>
        </w:rPr>
        <w:t>”</w:t>
      </w:r>
      <w:r>
        <w:rPr>
          <w:rFonts w:ascii="宋体" w:cs="宋体" w:eastAsia="宋体" w:hAnsi="宋体"/>
          <w:sz w:val="31"/>
          <w:szCs w:val="31"/>
          <w:color w:val="auto"/>
        </w:rPr>
        <w:t>处置模式，将垃圾焚烧发电厂、燃煤电厂、水泥窑等协同处置方式作为污泥处置的补充，推广将生活污泥焚烧灰渣作为建材原料加</w:t>
      </w:r>
    </w:p>
    <w:p>
      <w:pPr>
        <w:sectPr>
          <w:pgSz w:w="11900" w:h="16838" w:orient="portrait"/>
          <w:cols w:equalWidth="0" w:num="1">
            <w:col w:w="9026"/>
          </w:cols>
          <w:pgMar w:left="1440" w:top="1440" w:right="1440" w:bottom="654" w:gutter="0" w:footer="0" w:header="0"/>
        </w:sectPr>
      </w:pPr>
    </w:p>
    <w:p>
      <w:pPr>
        <w:spacing w:after="0" w:line="326"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1"/>
          <w:szCs w:val="21"/>
          <w:color w:val="auto"/>
        </w:rPr>
        <w:t>18</w:t>
      </w:r>
    </w:p>
    <w:p>
      <w:pPr>
        <w:sectPr>
          <w:pgSz w:w="11900" w:h="16838" w:orient="portrait"/>
          <w:cols w:equalWidth="0" w:num="1">
            <w:col w:w="9026"/>
          </w:cols>
          <w:pgMar w:left="1440" w:top="1440" w:right="1440" w:bottom="654" w:gutter="0" w:footer="0" w:header="0"/>
          <w:type w:val="continuous"/>
        </w:sectPr>
      </w:pPr>
    </w:p>
    <w:bookmarkStart w:id="18" w:name="page19"/>
    <w:bookmarkEnd w:id="18"/>
    <w:p>
      <w:pPr>
        <w:spacing w:after="0" w:line="200" w:lineRule="exact"/>
        <w:rPr>
          <w:sz w:val="20"/>
          <w:szCs w:val="20"/>
          <w:color w:val="auto"/>
        </w:rPr>
      </w:pPr>
    </w:p>
    <w:p>
      <w:pPr>
        <w:spacing w:after="0" w:line="207"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以利用。</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93980</wp:posOffset>
            </wp:positionH>
            <wp:positionV relativeFrom="paragraph">
              <wp:posOffset>46355</wp:posOffset>
            </wp:positionV>
            <wp:extent cx="5543550" cy="40411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543550" cy="4041140"/>
                    </a:xfrm>
                    <a:prstGeom prst="rect">
                      <a:avLst/>
                    </a:prstGeom>
                    <a:noFill/>
                  </pic:spPr>
                </pic:pic>
              </a:graphicData>
            </a:graphic>
          </wp:anchor>
        </w:drawing>
      </w:r>
    </w:p>
    <w:p>
      <w:pPr>
        <w:spacing w:after="0" w:line="235" w:lineRule="exact"/>
        <w:rPr>
          <w:sz w:val="20"/>
          <w:szCs w:val="20"/>
          <w:color w:val="auto"/>
        </w:rPr>
      </w:pPr>
    </w:p>
    <w:p>
      <w:pPr>
        <w:jc w:val="center"/>
        <w:ind w:right="6"/>
        <w:spacing w:after="0" w:line="343" w:lineRule="exact"/>
        <w:rPr>
          <w:sz w:val="20"/>
          <w:szCs w:val="20"/>
          <w:color w:val="auto"/>
        </w:rPr>
      </w:pPr>
      <w:r>
        <w:rPr>
          <w:rFonts w:ascii="黑体" w:cs="黑体" w:eastAsia="黑体" w:hAnsi="黑体"/>
          <w:sz w:val="30"/>
          <w:szCs w:val="30"/>
          <w:color w:val="0C0C0C"/>
        </w:rPr>
        <w:t>专栏 2：城市水系统体系化建设工程</w:t>
      </w:r>
    </w:p>
    <w:p>
      <w:pPr>
        <w:spacing w:after="0" w:line="215" w:lineRule="exact"/>
        <w:rPr>
          <w:sz w:val="20"/>
          <w:szCs w:val="20"/>
          <w:color w:val="auto"/>
        </w:rPr>
      </w:pPr>
    </w:p>
    <w:p>
      <w:pPr>
        <w:jc w:val="both"/>
        <w:ind w:left="260" w:right="266" w:firstLine="559"/>
        <w:spacing w:after="0" w:line="412" w:lineRule="exact"/>
        <w:rPr>
          <w:sz w:val="20"/>
          <w:szCs w:val="20"/>
          <w:color w:val="auto"/>
        </w:rPr>
      </w:pPr>
      <w:r>
        <w:rPr>
          <w:rFonts w:ascii="Arial" w:cs="Arial" w:eastAsia="Arial" w:hAnsi="Arial"/>
          <w:sz w:val="28"/>
          <w:szCs w:val="28"/>
          <w:color w:val="0C0C0C"/>
        </w:rPr>
        <w:t>1.</w:t>
      </w:r>
      <w:r>
        <w:rPr>
          <w:rFonts w:ascii="宋体" w:cs="宋体" w:eastAsia="宋体" w:hAnsi="宋体"/>
          <w:sz w:val="28"/>
          <w:szCs w:val="28"/>
          <w:color w:val="0C0C0C"/>
        </w:rPr>
        <w:t>城市供水安全保障。预计新建改造供水厂规模</w:t>
      </w:r>
      <w:r>
        <w:rPr>
          <w:rFonts w:ascii="Arial" w:cs="Arial" w:eastAsia="Arial" w:hAnsi="Arial"/>
          <w:sz w:val="28"/>
          <w:szCs w:val="28"/>
          <w:color w:val="0C0C0C"/>
        </w:rPr>
        <w:t xml:space="preserve"> 0.65 </w:t>
      </w:r>
      <w:r>
        <w:rPr>
          <w:rFonts w:ascii="宋体" w:cs="宋体" w:eastAsia="宋体" w:hAnsi="宋体"/>
          <w:sz w:val="28"/>
          <w:szCs w:val="28"/>
          <w:color w:val="0C0C0C"/>
        </w:rPr>
        <w:t>亿立方米</w:t>
      </w:r>
      <w:r>
        <w:rPr>
          <w:rFonts w:ascii="Arial" w:cs="Arial" w:eastAsia="Arial" w:hAnsi="Arial"/>
          <w:sz w:val="28"/>
          <w:szCs w:val="28"/>
          <w:color w:val="0C0C0C"/>
        </w:rPr>
        <w:t>/</w:t>
      </w:r>
      <w:r>
        <w:rPr>
          <w:rFonts w:ascii="宋体" w:cs="宋体" w:eastAsia="宋体" w:hAnsi="宋体"/>
          <w:sz w:val="28"/>
          <w:szCs w:val="28"/>
          <w:color w:val="0C0C0C"/>
        </w:rPr>
        <w:t>日，预计新建改造供水管网</w:t>
      </w:r>
      <w:r>
        <w:rPr>
          <w:rFonts w:ascii="Arial" w:cs="Arial" w:eastAsia="Arial" w:hAnsi="Arial"/>
          <w:sz w:val="28"/>
          <w:szCs w:val="28"/>
          <w:color w:val="0C0C0C"/>
        </w:rPr>
        <w:t xml:space="preserve"> 10.4 </w:t>
      </w:r>
      <w:r>
        <w:rPr>
          <w:rFonts w:ascii="宋体" w:cs="宋体" w:eastAsia="宋体" w:hAnsi="宋体"/>
          <w:sz w:val="28"/>
          <w:szCs w:val="28"/>
          <w:color w:val="0C0C0C"/>
        </w:rPr>
        <w:t>万公里，对不符合技术、卫生和安全防范要求的加压调蓄设施进行改造。</w:t>
      </w:r>
    </w:p>
    <w:p>
      <w:pPr>
        <w:spacing w:after="0" w:line="206" w:lineRule="exact"/>
        <w:rPr>
          <w:sz w:val="20"/>
          <w:szCs w:val="20"/>
          <w:color w:val="auto"/>
        </w:rPr>
      </w:pPr>
    </w:p>
    <w:p>
      <w:pPr>
        <w:jc w:val="both"/>
        <w:ind w:left="260" w:right="266" w:firstLine="559"/>
        <w:spacing w:after="0" w:line="379" w:lineRule="exact"/>
        <w:rPr>
          <w:sz w:val="20"/>
          <w:szCs w:val="20"/>
          <w:color w:val="auto"/>
        </w:rPr>
      </w:pPr>
      <w:r>
        <w:rPr>
          <w:rFonts w:ascii="Arial" w:cs="Arial" w:eastAsia="Arial" w:hAnsi="Arial"/>
          <w:sz w:val="28"/>
          <w:szCs w:val="28"/>
          <w:color w:val="0C0C0C"/>
        </w:rPr>
        <w:t>2.</w:t>
      </w:r>
      <w:r>
        <w:rPr>
          <w:rFonts w:ascii="宋体" w:cs="宋体" w:eastAsia="宋体" w:hAnsi="宋体"/>
          <w:sz w:val="28"/>
          <w:szCs w:val="28"/>
          <w:color w:val="0C0C0C"/>
        </w:rPr>
        <w:t>城市供水管网漏损治理。开展管网智能化改造、老旧管网更新改造、管网分区计量和供水压力优化调控，进一步降低管网漏损。</w:t>
      </w:r>
    </w:p>
    <w:p>
      <w:pPr>
        <w:spacing w:after="0" w:line="202" w:lineRule="exact"/>
        <w:rPr>
          <w:sz w:val="20"/>
          <w:szCs w:val="20"/>
          <w:color w:val="auto"/>
        </w:rPr>
      </w:pPr>
    </w:p>
    <w:p>
      <w:pPr>
        <w:jc w:val="both"/>
        <w:ind w:left="260" w:right="266" w:firstLine="559"/>
        <w:spacing w:after="0" w:line="379" w:lineRule="exact"/>
        <w:rPr>
          <w:sz w:val="20"/>
          <w:szCs w:val="20"/>
          <w:color w:val="auto"/>
        </w:rPr>
      </w:pPr>
      <w:r>
        <w:rPr>
          <w:rFonts w:ascii="Arial" w:cs="Arial" w:eastAsia="Arial" w:hAnsi="Arial"/>
          <w:sz w:val="28"/>
          <w:szCs w:val="28"/>
          <w:color w:val="0C0C0C"/>
        </w:rPr>
        <w:t>3.</w:t>
      </w:r>
      <w:r>
        <w:rPr>
          <w:rFonts w:ascii="宋体" w:cs="宋体" w:eastAsia="宋体" w:hAnsi="宋体"/>
          <w:sz w:val="28"/>
          <w:szCs w:val="28"/>
          <w:color w:val="0C0C0C"/>
        </w:rPr>
        <w:t>城市排水防涝。实施河湖水系和生态空间治理与修复、管网和泵站建设与改造、排涝通道建设、雨水源头减排、防洪提升等工程。</w:t>
      </w:r>
    </w:p>
    <w:p>
      <w:pPr>
        <w:spacing w:after="0" w:line="202" w:lineRule="exact"/>
        <w:rPr>
          <w:sz w:val="20"/>
          <w:szCs w:val="20"/>
          <w:color w:val="auto"/>
        </w:rPr>
      </w:pPr>
    </w:p>
    <w:p>
      <w:pPr>
        <w:ind w:left="260" w:right="146" w:firstLine="559"/>
        <w:spacing w:after="0" w:line="379" w:lineRule="exact"/>
        <w:rPr>
          <w:sz w:val="20"/>
          <w:szCs w:val="20"/>
          <w:color w:val="auto"/>
        </w:rPr>
      </w:pPr>
      <w:r>
        <w:rPr>
          <w:rFonts w:ascii="Arial" w:cs="Arial" w:eastAsia="Arial" w:hAnsi="Arial"/>
          <w:sz w:val="28"/>
          <w:szCs w:val="28"/>
          <w:color w:val="0C0C0C"/>
        </w:rPr>
        <w:t>4.</w:t>
      </w:r>
      <w:r>
        <w:rPr>
          <w:rFonts w:ascii="宋体" w:cs="宋体" w:eastAsia="宋体" w:hAnsi="宋体"/>
          <w:sz w:val="28"/>
          <w:szCs w:val="28"/>
          <w:color w:val="0C0C0C"/>
        </w:rPr>
        <w:t>污水处理提质增效。预计新建改造污水管网</w:t>
      </w:r>
      <w:r>
        <w:rPr>
          <w:rFonts w:ascii="Arial" w:cs="Arial" w:eastAsia="Arial" w:hAnsi="Arial"/>
          <w:sz w:val="28"/>
          <w:szCs w:val="28"/>
          <w:color w:val="0C0C0C"/>
        </w:rPr>
        <w:t xml:space="preserve"> 8 </w:t>
      </w:r>
      <w:r>
        <w:rPr>
          <w:rFonts w:ascii="宋体" w:cs="宋体" w:eastAsia="宋体" w:hAnsi="宋体"/>
          <w:sz w:val="28"/>
          <w:szCs w:val="28"/>
          <w:color w:val="0C0C0C"/>
        </w:rPr>
        <w:t>万公里，预计新、改、扩建污水处理设施能力</w:t>
      </w:r>
      <w:r>
        <w:rPr>
          <w:rFonts w:ascii="Arial" w:cs="Arial" w:eastAsia="Arial" w:hAnsi="Arial"/>
          <w:sz w:val="28"/>
          <w:szCs w:val="28"/>
          <w:color w:val="0C0C0C"/>
        </w:rPr>
        <w:t xml:space="preserve"> 2000 </w:t>
      </w:r>
      <w:r>
        <w:rPr>
          <w:rFonts w:ascii="宋体" w:cs="宋体" w:eastAsia="宋体" w:hAnsi="宋体"/>
          <w:sz w:val="28"/>
          <w:szCs w:val="28"/>
          <w:color w:val="0C0C0C"/>
        </w:rPr>
        <w:t>万立方米</w:t>
      </w:r>
      <w:r>
        <w:rPr>
          <w:rFonts w:ascii="Arial" w:cs="Arial" w:eastAsia="Arial" w:hAnsi="Arial"/>
          <w:sz w:val="28"/>
          <w:szCs w:val="28"/>
          <w:color w:val="0C0C0C"/>
        </w:rPr>
        <w:t>/</w:t>
      </w:r>
      <w:r>
        <w:rPr>
          <w:rFonts w:ascii="宋体" w:cs="宋体" w:eastAsia="宋体" w:hAnsi="宋体"/>
          <w:sz w:val="28"/>
          <w:szCs w:val="28"/>
          <w:color w:val="0C0C0C"/>
        </w:rPr>
        <w:t>日。</w:t>
      </w:r>
    </w:p>
    <w:p>
      <w:pPr>
        <w:spacing w:after="0" w:line="202" w:lineRule="exact"/>
        <w:rPr>
          <w:sz w:val="20"/>
          <w:szCs w:val="20"/>
          <w:color w:val="auto"/>
        </w:rPr>
      </w:pPr>
    </w:p>
    <w:p>
      <w:pPr>
        <w:jc w:val="both"/>
        <w:ind w:left="260" w:right="266" w:firstLine="559"/>
        <w:spacing w:after="0" w:line="412" w:lineRule="exact"/>
        <w:rPr>
          <w:sz w:val="20"/>
          <w:szCs w:val="20"/>
          <w:color w:val="auto"/>
        </w:rPr>
      </w:pPr>
      <w:r>
        <w:rPr>
          <w:rFonts w:ascii="Arial" w:cs="Arial" w:eastAsia="Arial" w:hAnsi="Arial"/>
          <w:sz w:val="28"/>
          <w:szCs w:val="28"/>
          <w:color w:val="0C0C0C"/>
        </w:rPr>
        <w:t>5.</w:t>
      </w:r>
      <w:r>
        <w:rPr>
          <w:rFonts w:ascii="宋体" w:cs="宋体" w:eastAsia="宋体" w:hAnsi="宋体"/>
          <w:sz w:val="28"/>
          <w:szCs w:val="28"/>
          <w:color w:val="0C0C0C"/>
        </w:rPr>
        <w:t>开展国家海绵城市建设示范。选取</w:t>
      </w:r>
      <w:r>
        <w:rPr>
          <w:rFonts w:ascii="Arial" w:cs="Arial" w:eastAsia="Arial" w:hAnsi="Arial"/>
          <w:sz w:val="28"/>
          <w:szCs w:val="28"/>
          <w:color w:val="0C0C0C"/>
        </w:rPr>
        <w:t xml:space="preserve"> 50 </w:t>
      </w:r>
      <w:r>
        <w:rPr>
          <w:rFonts w:ascii="宋体" w:cs="宋体" w:eastAsia="宋体" w:hAnsi="宋体"/>
          <w:sz w:val="28"/>
          <w:szCs w:val="28"/>
          <w:color w:val="0C0C0C"/>
        </w:rPr>
        <w:t>个左右城市开展示范，力争通过</w:t>
      </w:r>
      <w:r>
        <w:rPr>
          <w:rFonts w:ascii="Arial" w:cs="Arial" w:eastAsia="Arial" w:hAnsi="Arial"/>
          <w:sz w:val="28"/>
          <w:szCs w:val="28"/>
          <w:color w:val="0C0C0C"/>
        </w:rPr>
        <w:t xml:space="preserve"> 3 </w:t>
      </w:r>
      <w:r>
        <w:rPr>
          <w:rFonts w:ascii="宋体" w:cs="宋体" w:eastAsia="宋体" w:hAnsi="宋体"/>
          <w:sz w:val="28"/>
          <w:szCs w:val="28"/>
          <w:color w:val="0C0C0C"/>
        </w:rPr>
        <w:t>年集中建设，示范城市防洪排涝能力明显提升，生态环境显著改善，海绵城市理念得到全面、有效落实。</w:t>
      </w:r>
    </w:p>
    <w:p>
      <w:pPr>
        <w:spacing w:after="0" w:line="216"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（三）城市能源系统安全保障和绿色化提升行动。</w:t>
      </w:r>
    </w:p>
    <w:p>
      <w:pPr>
        <w:spacing w:after="0" w:line="269" w:lineRule="exact"/>
        <w:rPr>
          <w:sz w:val="20"/>
          <w:szCs w:val="20"/>
          <w:color w:val="auto"/>
        </w:rPr>
      </w:pPr>
    </w:p>
    <w:p>
      <w:pPr>
        <w:jc w:val="both"/>
        <w:ind w:left="260" w:right="266" w:firstLine="638"/>
        <w:spacing w:after="0" w:line="556" w:lineRule="exact"/>
        <w:rPr>
          <w:sz w:val="20"/>
          <w:szCs w:val="20"/>
          <w:color w:val="auto"/>
        </w:rPr>
      </w:pPr>
      <w:r>
        <w:rPr>
          <w:rFonts w:ascii="Arial" w:cs="Arial" w:eastAsia="Arial" w:hAnsi="Arial"/>
          <w:sz w:val="31"/>
          <w:szCs w:val="31"/>
          <w:color w:val="0C0C0C"/>
        </w:rPr>
        <w:t>1.</w:t>
      </w:r>
      <w:r>
        <w:rPr>
          <w:rFonts w:ascii="宋体" w:cs="宋体" w:eastAsia="宋体" w:hAnsi="宋体"/>
          <w:sz w:val="31"/>
          <w:szCs w:val="31"/>
          <w:color w:val="0C0C0C"/>
        </w:rPr>
        <w:t>开展城市韧性电网和智慧电网建设。</w:t>
      </w:r>
      <w:r>
        <w:rPr>
          <w:rFonts w:ascii="宋体" w:cs="宋体" w:eastAsia="宋体" w:hAnsi="宋体"/>
          <w:sz w:val="31"/>
          <w:szCs w:val="31"/>
          <w:color w:val="000000"/>
        </w:rPr>
        <w:t>结合城市更新、新能源汽车充电设施建设，开展城市配电网扩容和升级改造，推进城市电力电缆通道建设和具备条件地区架空线入地，实现设备状态环境全面监控、故障主动研判自愈，提高电网韧性。建设以城市为单元的应急备用和调峰电源。推进分布式可再生能源和建筑一体化利用，有序推进主动配电网、微电网、交直流混合电网应用，提高分布式电源与配电网协调能力。因地制宜推动城市分布式光伏发展。发展能源互联网，深度融合先进能源技术、信息通信技术和控制技术，支撑能源电力清洁低碳转型、能源综合利用效率优化和多元主体灵活便捷接入。</w:t>
      </w:r>
    </w:p>
    <w:p>
      <w:pPr>
        <w:sectPr>
          <w:pgSz w:w="11900" w:h="16838" w:orient="portrait"/>
          <w:cols w:equalWidth="0" w:num="1">
            <w:col w:w="9026"/>
          </w:cols>
          <w:pgMar w:left="1440" w:top="1440" w:right="1440" w:bottom="654" w:gutter="0" w:footer="0" w:header="0"/>
        </w:sectPr>
      </w:pPr>
    </w:p>
    <w:p>
      <w:pPr>
        <w:spacing w:after="0" w:line="390"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1"/>
          <w:szCs w:val="21"/>
          <w:color w:val="auto"/>
        </w:rPr>
        <w:t>19</w:t>
      </w:r>
    </w:p>
    <w:p>
      <w:pPr>
        <w:sectPr>
          <w:pgSz w:w="11900" w:h="16838" w:orient="portrait"/>
          <w:cols w:equalWidth="0" w:num="1">
            <w:col w:w="9026"/>
          </w:cols>
          <w:pgMar w:left="1440" w:top="1440" w:right="1440" w:bottom="654" w:gutter="0" w:footer="0" w:header="0"/>
          <w:type w:val="continuous"/>
        </w:sectPr>
      </w:pPr>
    </w:p>
    <w:bookmarkStart w:id="19" w:name="page20"/>
    <w:bookmarkEnd w:id="19"/>
    <w:p>
      <w:pPr>
        <w:spacing w:after="0" w:line="200" w:lineRule="exact"/>
        <w:rPr>
          <w:sz w:val="20"/>
          <w:szCs w:val="20"/>
          <w:color w:val="auto"/>
        </w:rPr>
      </w:pPr>
    </w:p>
    <w:p>
      <w:pPr>
        <w:spacing w:after="0" w:line="255" w:lineRule="exact"/>
        <w:rPr>
          <w:sz w:val="20"/>
          <w:szCs w:val="20"/>
          <w:color w:val="auto"/>
        </w:rPr>
      </w:pPr>
    </w:p>
    <w:p>
      <w:pPr>
        <w:ind w:left="260" w:right="126" w:firstLine="638"/>
        <w:spacing w:after="0" w:line="560" w:lineRule="exact"/>
        <w:rPr>
          <w:sz w:val="20"/>
          <w:szCs w:val="20"/>
          <w:color w:val="auto"/>
        </w:rPr>
      </w:pPr>
      <w:r>
        <w:rPr>
          <w:rFonts w:ascii="Arial" w:cs="Arial" w:eastAsia="Arial" w:hAnsi="Arial"/>
          <w:sz w:val="32"/>
          <w:szCs w:val="32"/>
          <w:color w:val="0C0C0C"/>
        </w:rPr>
        <w:t>2.</w:t>
      </w:r>
      <w:r>
        <w:rPr>
          <w:rFonts w:ascii="宋体" w:cs="宋体" w:eastAsia="宋体" w:hAnsi="宋体"/>
          <w:sz w:val="32"/>
          <w:szCs w:val="32"/>
          <w:color w:val="0C0C0C"/>
        </w:rPr>
        <w:t>增强城镇燃气安全供应保障能力。</w:t>
      </w:r>
      <w:r>
        <w:rPr>
          <w:rFonts w:ascii="宋体" w:cs="宋体" w:eastAsia="宋体" w:hAnsi="宋体"/>
          <w:sz w:val="32"/>
          <w:szCs w:val="32"/>
          <w:color w:val="000000"/>
        </w:rPr>
        <w:t>结合城市更新等工作，加快推进城镇燃气管网等设施建设改造与服务延伸，提升城镇管道燃气普及率。因地制宜拓展天然气在发电调峰、工业锅炉窑炉、清洁取暖、分布式能源和交通运输等领域的应用。在有条件的城市群，提高燃气设施的区域一体化和管网互联互通程度。强化城镇燃气安全监管，加快用户端本质安全设施推广，开展城镇燃气特许经营实施评估与检查工作，整治瓶装液化石油气行业违法经营等行为，规范液化石油气市场环境，加强燃气管网第三方破坏等安全风险整治和消除用户使用环节安全隐患，落实餐饮等行业生产经营单位使用燃气应安装可燃气体报警装置并保障其正常使用的要求。</w:t>
      </w:r>
    </w:p>
    <w:p>
      <w:pPr>
        <w:spacing w:after="0" w:line="267" w:lineRule="exact"/>
        <w:rPr>
          <w:sz w:val="20"/>
          <w:szCs w:val="20"/>
          <w:color w:val="auto"/>
        </w:rPr>
      </w:pPr>
    </w:p>
    <w:p>
      <w:pPr>
        <w:ind w:left="260" w:right="106" w:firstLine="638"/>
        <w:spacing w:after="0" w:line="551" w:lineRule="exact"/>
        <w:rPr>
          <w:sz w:val="20"/>
          <w:szCs w:val="20"/>
          <w:color w:val="auto"/>
        </w:rPr>
      </w:pPr>
      <w:r>
        <w:rPr>
          <w:rFonts w:ascii="Arial" w:cs="Arial" w:eastAsia="Arial" w:hAnsi="Arial"/>
          <w:sz w:val="32"/>
          <w:szCs w:val="32"/>
          <w:color w:val="0C0C0C"/>
        </w:rPr>
        <w:t>3.</w:t>
      </w:r>
      <w:r>
        <w:rPr>
          <w:rFonts w:ascii="宋体" w:cs="宋体" w:eastAsia="宋体" w:hAnsi="宋体"/>
          <w:sz w:val="32"/>
          <w:szCs w:val="32"/>
          <w:color w:val="0C0C0C"/>
        </w:rPr>
        <w:t>开展城市集中供热系统清洁化建设和改造。</w:t>
      </w:r>
      <w:r>
        <w:rPr>
          <w:rFonts w:ascii="宋体" w:cs="宋体" w:eastAsia="宋体" w:hAnsi="宋体"/>
          <w:sz w:val="32"/>
          <w:szCs w:val="32"/>
          <w:color w:val="000000"/>
        </w:rPr>
        <w:t>加强清洁热源和配套供热管网建设和改造，发展新能源、可再生能源等低碳能源。大力发展热电联产，因地制宜推进工业余热、天然气、电力和可再生能源供暖，实施小散燃煤热源替代，推进燃煤热源清洁化改造，支撑城镇供热低碳转型。积极推进实现北方地区冬季清洁取暖规划目标，开展清洁取暖绩效评价，加强城市清洁取暖试点经验推广。支持城市实施热网连通工程，开展多热源联供试点建设，提升城市供热系统安全水平。</w:t>
      </w:r>
    </w:p>
    <w:p>
      <w:pPr>
        <w:spacing w:after="0" w:line="271" w:lineRule="exact"/>
        <w:rPr>
          <w:sz w:val="20"/>
          <w:szCs w:val="20"/>
          <w:color w:val="auto"/>
        </w:rPr>
      </w:pPr>
    </w:p>
    <w:p>
      <w:pPr>
        <w:ind w:left="260" w:right="106" w:firstLine="638"/>
        <w:spacing w:after="0" w:line="450" w:lineRule="exact"/>
        <w:rPr>
          <w:sz w:val="20"/>
          <w:szCs w:val="20"/>
          <w:color w:val="auto"/>
        </w:rPr>
      </w:pPr>
      <w:r>
        <w:rPr>
          <w:rFonts w:ascii="Arial" w:cs="Arial" w:eastAsia="Arial" w:hAnsi="Arial"/>
          <w:sz w:val="31"/>
          <w:szCs w:val="31"/>
          <w:color w:val="0C0C0C"/>
        </w:rPr>
        <w:t>4.</w:t>
      </w:r>
      <w:r>
        <w:rPr>
          <w:rFonts w:ascii="宋体" w:cs="宋体" w:eastAsia="宋体" w:hAnsi="宋体"/>
          <w:sz w:val="31"/>
          <w:szCs w:val="31"/>
          <w:color w:val="0C0C0C"/>
        </w:rPr>
        <w:t>开展城市照明盲点暗区整治和节能改造。</w:t>
      </w:r>
      <w:r>
        <w:rPr>
          <w:rFonts w:ascii="宋体" w:cs="宋体" w:eastAsia="宋体" w:hAnsi="宋体"/>
          <w:sz w:val="31"/>
          <w:szCs w:val="31"/>
          <w:color w:val="000000"/>
        </w:rPr>
        <w:t>开展城市照明</w:t>
      </w:r>
      <w:r>
        <w:rPr>
          <w:rFonts w:ascii="Arial" w:cs="Arial" w:eastAsia="Arial" w:hAnsi="Arial"/>
          <w:sz w:val="31"/>
          <w:szCs w:val="31"/>
          <w:color w:val="000000"/>
        </w:rPr>
        <w:t>“</w:t>
      </w:r>
      <w:r>
        <w:rPr>
          <w:rFonts w:ascii="宋体" w:cs="宋体" w:eastAsia="宋体" w:hAnsi="宋体"/>
          <w:sz w:val="31"/>
          <w:szCs w:val="31"/>
          <w:color w:val="000000"/>
        </w:rPr>
        <w:t>有路无灯、有灯不亮</w:t>
      </w:r>
      <w:r>
        <w:rPr>
          <w:rFonts w:ascii="Arial" w:cs="Arial" w:eastAsia="Arial" w:hAnsi="Arial"/>
          <w:sz w:val="31"/>
          <w:szCs w:val="31"/>
          <w:color w:val="000000"/>
        </w:rPr>
        <w:t>”</w:t>
      </w:r>
      <w:r>
        <w:rPr>
          <w:rFonts w:ascii="宋体" w:cs="宋体" w:eastAsia="宋体" w:hAnsi="宋体"/>
          <w:sz w:val="31"/>
          <w:szCs w:val="31"/>
          <w:color w:val="000000"/>
        </w:rPr>
        <w:t>专项整治，消除城市照明的盲点暗区，</w:t>
      </w:r>
    </w:p>
    <w:p>
      <w:pPr>
        <w:spacing w:after="0" w:line="268" w:lineRule="exact"/>
        <w:rPr>
          <w:sz w:val="20"/>
          <w:szCs w:val="20"/>
          <w:color w:val="auto"/>
        </w:rPr>
      </w:pPr>
    </w:p>
    <w:p>
      <w:pPr>
        <w:ind w:left="260" w:right="266"/>
        <w:spacing w:after="0" w:line="451" w:lineRule="exact"/>
        <w:rPr>
          <w:sz w:val="20"/>
          <w:szCs w:val="20"/>
          <w:color w:val="auto"/>
        </w:rPr>
      </w:pPr>
      <w:r>
        <w:rPr>
          <w:rFonts w:ascii="宋体" w:cs="宋体" w:eastAsia="宋体" w:hAnsi="宋体"/>
          <w:sz w:val="31"/>
          <w:szCs w:val="31"/>
          <w:color w:val="auto"/>
        </w:rPr>
        <w:t>照明照（亮）度、均匀度不达标的城市道路或公共场所增设或更换路灯。持续开展城市照明节能改造，针对能耗高、眩光严</w:t>
      </w:r>
    </w:p>
    <w:p>
      <w:pPr>
        <w:sectPr>
          <w:pgSz w:w="11900" w:h="16838" w:orient="portrait"/>
          <w:cols w:equalWidth="0" w:num="1">
            <w:col w:w="9026"/>
          </w:cols>
          <w:pgMar w:left="1440" w:top="1440" w:right="1440" w:bottom="654" w:gutter="0" w:footer="0" w:header="0"/>
        </w:sectPr>
      </w:pPr>
    </w:p>
    <w:p>
      <w:pPr>
        <w:spacing w:after="0" w:line="317"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1"/>
          <w:szCs w:val="21"/>
          <w:color w:val="auto"/>
        </w:rPr>
        <w:t>20</w:t>
      </w:r>
    </w:p>
    <w:p>
      <w:pPr>
        <w:sectPr>
          <w:pgSz w:w="11900" w:h="16838" w:orient="portrait"/>
          <w:cols w:equalWidth="0" w:num="1">
            <w:col w:w="9026"/>
          </w:cols>
          <w:pgMar w:left="1440" w:top="1440" w:right="1440" w:bottom="654" w:gutter="0" w:footer="0" w:header="0"/>
          <w:type w:val="continuous"/>
        </w:sectPr>
      </w:pPr>
    </w:p>
    <w:bookmarkStart w:id="20" w:name="page21"/>
    <w:bookmarkEnd w:id="20"/>
    <w:p>
      <w:pPr>
        <w:spacing w:after="0" w:line="200" w:lineRule="exact"/>
        <w:rPr>
          <w:sz w:val="20"/>
          <w:szCs w:val="20"/>
          <w:color w:val="auto"/>
        </w:rPr>
      </w:pPr>
    </w:p>
    <w:p>
      <w:pPr>
        <w:spacing w:after="0" w:line="255" w:lineRule="exact"/>
        <w:rPr>
          <w:sz w:val="20"/>
          <w:szCs w:val="20"/>
          <w:color w:val="auto"/>
        </w:rPr>
      </w:pPr>
    </w:p>
    <w:p>
      <w:pPr>
        <w:jc w:val="both"/>
        <w:ind w:left="260" w:right="126"/>
        <w:spacing w:after="0" w:line="531" w:lineRule="exact"/>
        <w:rPr>
          <w:sz w:val="20"/>
          <w:szCs w:val="20"/>
          <w:color w:val="auto"/>
        </w:rPr>
      </w:pPr>
      <w:r>
        <w:rPr>
          <w:rFonts w:ascii="宋体" w:cs="宋体" w:eastAsia="宋体" w:hAnsi="宋体"/>
          <w:sz w:val="32"/>
          <w:szCs w:val="32"/>
          <w:color w:val="auto"/>
        </w:rPr>
        <w:t>重、无控光措施的路灯，通过</w:t>
      </w:r>
      <w:r>
        <w:rPr>
          <w:rFonts w:ascii="Arial" w:cs="Arial" w:eastAsia="Arial" w:hAnsi="Arial"/>
          <w:sz w:val="32"/>
          <w:szCs w:val="32"/>
          <w:color w:val="auto"/>
        </w:rPr>
        <w:t xml:space="preserve"> LED </w:t>
      </w:r>
      <w:r>
        <w:rPr>
          <w:rFonts w:ascii="宋体" w:cs="宋体" w:eastAsia="宋体" w:hAnsi="宋体"/>
          <w:sz w:val="32"/>
          <w:szCs w:val="32"/>
          <w:color w:val="auto"/>
        </w:rPr>
        <w:t>等绿色节能光源替换、加装单灯控制器，实现精细化按需照明。重点针对居住区、学校、医院和办公区开展光污染专项整治。风光资源丰富的城市，因地制宜采用太阳能路灯、风光互补路灯，推广清洁能源在城市照明中的应用。</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93980</wp:posOffset>
            </wp:positionH>
            <wp:positionV relativeFrom="paragraph">
              <wp:posOffset>48260</wp:posOffset>
            </wp:positionV>
            <wp:extent cx="5543550" cy="43459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543550" cy="4345940"/>
                    </a:xfrm>
                    <a:prstGeom prst="rect">
                      <a:avLst/>
                    </a:prstGeom>
                    <a:noFill/>
                  </pic:spPr>
                </pic:pic>
              </a:graphicData>
            </a:graphic>
          </wp:anchor>
        </w:drawing>
      </w:r>
    </w:p>
    <w:p>
      <w:pPr>
        <w:spacing w:after="0" w:line="237" w:lineRule="exact"/>
        <w:rPr>
          <w:sz w:val="20"/>
          <w:szCs w:val="20"/>
          <w:color w:val="auto"/>
        </w:rPr>
      </w:pPr>
    </w:p>
    <w:p>
      <w:pPr>
        <w:jc w:val="center"/>
        <w:ind w:right="6"/>
        <w:spacing w:after="0" w:line="343" w:lineRule="exact"/>
        <w:rPr>
          <w:sz w:val="20"/>
          <w:szCs w:val="20"/>
          <w:color w:val="auto"/>
        </w:rPr>
      </w:pPr>
      <w:r>
        <w:rPr>
          <w:rFonts w:ascii="黑体" w:cs="黑体" w:eastAsia="黑体" w:hAnsi="黑体"/>
          <w:sz w:val="30"/>
          <w:szCs w:val="30"/>
          <w:color w:val="0C0C0C"/>
        </w:rPr>
        <w:t>专栏 3：城市能源系统安全保障和绿色化提升工程</w:t>
      </w:r>
    </w:p>
    <w:p>
      <w:pPr>
        <w:spacing w:after="0" w:line="215" w:lineRule="exact"/>
        <w:rPr>
          <w:sz w:val="20"/>
          <w:szCs w:val="20"/>
          <w:color w:val="auto"/>
        </w:rPr>
      </w:pPr>
    </w:p>
    <w:p>
      <w:pPr>
        <w:jc w:val="both"/>
        <w:ind w:left="260" w:right="266" w:firstLine="559"/>
        <w:spacing w:after="0" w:line="429" w:lineRule="exact"/>
        <w:rPr>
          <w:sz w:val="20"/>
          <w:szCs w:val="20"/>
          <w:color w:val="auto"/>
        </w:rPr>
      </w:pPr>
      <w:r>
        <w:rPr>
          <w:rFonts w:ascii="Arial" w:cs="Arial" w:eastAsia="Arial" w:hAnsi="Arial"/>
          <w:sz w:val="28"/>
          <w:szCs w:val="28"/>
          <w:color w:val="0C0C0C"/>
        </w:rPr>
        <w:t>1.</w:t>
      </w:r>
      <w:r>
        <w:rPr>
          <w:rFonts w:ascii="宋体" w:cs="宋体" w:eastAsia="宋体" w:hAnsi="宋体"/>
          <w:sz w:val="28"/>
          <w:szCs w:val="28"/>
          <w:color w:val="0C0C0C"/>
        </w:rPr>
        <w:t>城市燃气输配设施建设与改造。新建和改造燃气管网</w:t>
      </w:r>
      <w:r>
        <w:rPr>
          <w:rFonts w:ascii="Arial" w:cs="Arial" w:eastAsia="Arial" w:hAnsi="Arial"/>
          <w:sz w:val="28"/>
          <w:szCs w:val="28"/>
          <w:color w:val="0C0C0C"/>
        </w:rPr>
        <w:t xml:space="preserve"> 24.7 </w:t>
      </w:r>
      <w:r>
        <w:rPr>
          <w:rFonts w:ascii="宋体" w:cs="宋体" w:eastAsia="宋体" w:hAnsi="宋体"/>
          <w:sz w:val="28"/>
          <w:szCs w:val="28"/>
          <w:color w:val="0C0C0C"/>
        </w:rPr>
        <w:t>万公里，推进天然气门站和加气站等输配设施建设，完善城市燃气供应系统。按照国家有关工作部署要求，遵循省级人民政府统筹原则，推进地方各级人民政府和城镇燃气企业储气能力建设。</w:t>
      </w:r>
    </w:p>
    <w:p>
      <w:pPr>
        <w:spacing w:after="0" w:line="206" w:lineRule="exact"/>
        <w:rPr>
          <w:sz w:val="20"/>
          <w:szCs w:val="20"/>
          <w:color w:val="auto"/>
        </w:rPr>
      </w:pPr>
    </w:p>
    <w:p>
      <w:pPr>
        <w:jc w:val="both"/>
        <w:ind w:left="260" w:right="266" w:firstLine="559"/>
        <w:spacing w:after="0" w:line="429" w:lineRule="exact"/>
        <w:rPr>
          <w:sz w:val="20"/>
          <w:szCs w:val="20"/>
          <w:color w:val="auto"/>
        </w:rPr>
      </w:pPr>
      <w:r>
        <w:rPr>
          <w:rFonts w:ascii="Arial" w:cs="Arial" w:eastAsia="Arial" w:hAnsi="Arial"/>
          <w:sz w:val="28"/>
          <w:szCs w:val="28"/>
          <w:color w:val="0C0C0C"/>
        </w:rPr>
        <w:t>2.</w:t>
      </w:r>
      <w:r>
        <w:rPr>
          <w:rFonts w:ascii="宋体" w:cs="宋体" w:eastAsia="宋体" w:hAnsi="宋体"/>
          <w:sz w:val="28"/>
          <w:szCs w:val="28"/>
          <w:color w:val="0C0C0C"/>
        </w:rPr>
        <w:t>城市清洁供热系统建设与改造。开展清洁热源建设和改造，新建清洁热源和实施集中热源清洁化改造共计</w:t>
      </w:r>
      <w:r>
        <w:rPr>
          <w:rFonts w:ascii="Arial" w:cs="Arial" w:eastAsia="Arial" w:hAnsi="Arial"/>
          <w:sz w:val="28"/>
          <w:szCs w:val="28"/>
          <w:color w:val="0C0C0C"/>
        </w:rPr>
        <w:t xml:space="preserve"> 14.2 </w:t>
      </w:r>
      <w:r>
        <w:rPr>
          <w:rFonts w:ascii="宋体" w:cs="宋体" w:eastAsia="宋体" w:hAnsi="宋体"/>
          <w:sz w:val="28"/>
          <w:szCs w:val="28"/>
          <w:color w:val="0C0C0C"/>
        </w:rPr>
        <w:t>万兆瓦。结合城市建设和城市更新，新建和改造集中供热管网</w:t>
      </w:r>
      <w:r>
        <w:rPr>
          <w:rFonts w:ascii="Arial" w:cs="Arial" w:eastAsia="Arial" w:hAnsi="Arial"/>
          <w:sz w:val="28"/>
          <w:szCs w:val="28"/>
          <w:color w:val="0C0C0C"/>
        </w:rPr>
        <w:t xml:space="preserve"> 9.4 </w:t>
      </w:r>
      <w:r>
        <w:rPr>
          <w:rFonts w:ascii="宋体" w:cs="宋体" w:eastAsia="宋体" w:hAnsi="宋体"/>
          <w:sz w:val="28"/>
          <w:szCs w:val="28"/>
          <w:color w:val="0C0C0C"/>
        </w:rPr>
        <w:t>万公里，推进市政一次网、二次网和热力站改造。</w:t>
      </w:r>
    </w:p>
    <w:p>
      <w:pPr>
        <w:spacing w:after="0" w:line="206" w:lineRule="exact"/>
        <w:rPr>
          <w:sz w:val="20"/>
          <w:szCs w:val="20"/>
          <w:color w:val="auto"/>
        </w:rPr>
      </w:pPr>
    </w:p>
    <w:p>
      <w:pPr>
        <w:jc w:val="both"/>
        <w:ind w:left="260" w:right="266" w:firstLine="559"/>
        <w:spacing w:after="0" w:line="379" w:lineRule="exact"/>
        <w:rPr>
          <w:sz w:val="20"/>
          <w:szCs w:val="20"/>
          <w:color w:val="auto"/>
        </w:rPr>
      </w:pPr>
      <w:r>
        <w:rPr>
          <w:rFonts w:ascii="Arial" w:cs="Arial" w:eastAsia="Arial" w:hAnsi="Arial"/>
          <w:sz w:val="28"/>
          <w:szCs w:val="28"/>
          <w:color w:val="0C0C0C"/>
        </w:rPr>
        <w:t>3.</w:t>
      </w:r>
      <w:r>
        <w:rPr>
          <w:rFonts w:ascii="宋体" w:cs="宋体" w:eastAsia="宋体" w:hAnsi="宋体"/>
          <w:sz w:val="28"/>
          <w:szCs w:val="28"/>
          <w:color w:val="0C0C0C"/>
        </w:rPr>
        <w:t>城市韧性电网和智慧电网建设。开展城市配电网扩容和升级，重点城市中心城区供电可靠率高于</w:t>
      </w:r>
      <w:r>
        <w:rPr>
          <w:rFonts w:ascii="Arial" w:cs="Arial" w:eastAsia="Arial" w:hAnsi="Arial"/>
          <w:sz w:val="28"/>
          <w:szCs w:val="28"/>
          <w:color w:val="0C0C0C"/>
        </w:rPr>
        <w:t xml:space="preserve"> 99.99%</w:t>
      </w:r>
      <w:r>
        <w:rPr>
          <w:rFonts w:ascii="宋体" w:cs="宋体" w:eastAsia="宋体" w:hAnsi="宋体"/>
          <w:sz w:val="28"/>
          <w:szCs w:val="28"/>
          <w:color w:val="0C0C0C"/>
        </w:rPr>
        <w:t>。</w:t>
      </w:r>
    </w:p>
    <w:p>
      <w:pPr>
        <w:spacing w:after="0" w:line="202" w:lineRule="exact"/>
        <w:rPr>
          <w:sz w:val="20"/>
          <w:szCs w:val="20"/>
          <w:color w:val="auto"/>
        </w:rPr>
      </w:pPr>
    </w:p>
    <w:p>
      <w:pPr>
        <w:jc w:val="both"/>
        <w:ind w:left="260" w:right="266" w:firstLine="559"/>
        <w:spacing w:after="0" w:line="412" w:lineRule="exact"/>
        <w:rPr>
          <w:sz w:val="20"/>
          <w:szCs w:val="20"/>
          <w:color w:val="auto"/>
        </w:rPr>
      </w:pPr>
      <w:r>
        <w:rPr>
          <w:rFonts w:ascii="Arial" w:cs="Arial" w:eastAsia="Arial" w:hAnsi="Arial"/>
          <w:sz w:val="28"/>
          <w:szCs w:val="28"/>
          <w:color w:val="0C0C0C"/>
        </w:rPr>
        <w:t>4.</w:t>
      </w:r>
      <w:r>
        <w:rPr>
          <w:rFonts w:ascii="宋体" w:cs="宋体" w:eastAsia="宋体" w:hAnsi="宋体"/>
          <w:sz w:val="28"/>
          <w:szCs w:val="28"/>
          <w:color w:val="0C0C0C"/>
        </w:rPr>
        <w:t>城市照明提升改善。结合新建和改扩建道路，开展照明盲点暗区整治；实施城市照明节能改造。结合城市实际和需求，适当建设和提升城市重要片区夜景照明品质。</w:t>
      </w:r>
    </w:p>
    <w:p>
      <w:pPr>
        <w:spacing w:after="0" w:line="218"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（四）城市环境卫生提升行动。</w:t>
      </w:r>
    </w:p>
    <w:p>
      <w:pPr>
        <w:spacing w:after="0" w:line="208" w:lineRule="exact"/>
        <w:rPr>
          <w:sz w:val="20"/>
          <w:szCs w:val="20"/>
          <w:color w:val="auto"/>
        </w:rPr>
      </w:pPr>
    </w:p>
    <w:p>
      <w:pPr>
        <w:ind w:left="900"/>
        <w:spacing w:after="0" w:line="376" w:lineRule="exact"/>
        <w:rPr>
          <w:sz w:val="20"/>
          <w:szCs w:val="20"/>
          <w:color w:val="auto"/>
        </w:rPr>
      </w:pPr>
      <w:r>
        <w:rPr>
          <w:rFonts w:ascii="Arial" w:cs="Arial" w:eastAsia="Arial" w:hAnsi="Arial"/>
          <w:sz w:val="31"/>
          <w:szCs w:val="31"/>
          <w:color w:val="0C0C0C"/>
        </w:rPr>
        <w:t>1.</w:t>
      </w:r>
      <w:r>
        <w:rPr>
          <w:rFonts w:ascii="宋体" w:cs="宋体" w:eastAsia="宋体" w:hAnsi="宋体"/>
          <w:sz w:val="31"/>
          <w:szCs w:val="31"/>
          <w:color w:val="0C0C0C"/>
        </w:rPr>
        <w:t>建立生活垃圾分类管理系统。</w:t>
      </w:r>
      <w:r>
        <w:rPr>
          <w:rFonts w:ascii="宋体" w:cs="宋体" w:eastAsia="宋体" w:hAnsi="宋体"/>
          <w:sz w:val="31"/>
          <w:szCs w:val="31"/>
          <w:color w:val="000000"/>
        </w:rPr>
        <w:t>建立分类投放、分类收集、</w:t>
      </w:r>
    </w:p>
    <w:p>
      <w:pPr>
        <w:spacing w:after="0" w:line="266" w:lineRule="exact"/>
        <w:rPr>
          <w:sz w:val="20"/>
          <w:szCs w:val="20"/>
          <w:color w:val="auto"/>
        </w:rPr>
      </w:pPr>
    </w:p>
    <w:p>
      <w:pPr>
        <w:jc w:val="both"/>
        <w:ind w:left="260" w:right="266"/>
        <w:spacing w:after="0" w:line="518" w:lineRule="exact"/>
        <w:rPr>
          <w:sz w:val="20"/>
          <w:szCs w:val="20"/>
          <w:color w:val="auto"/>
        </w:rPr>
      </w:pPr>
      <w:r>
        <w:rPr>
          <w:rFonts w:ascii="宋体" w:cs="宋体" w:eastAsia="宋体" w:hAnsi="宋体"/>
          <w:sz w:val="31"/>
          <w:szCs w:val="31"/>
          <w:color w:val="auto"/>
        </w:rPr>
        <w:t>分类运输、分类处理的生活垃圾管理系统。坚持源头减量，推动形成绿色发展方式和生活方式。因地制宜设置简便易行的生活垃圾分类投放装置，合理布局居住区、商业和办公场所的生活垃圾分类收集容器、箱房、桶站等设施设备。推动开展定时</w:t>
      </w:r>
    </w:p>
    <w:p>
      <w:pPr>
        <w:sectPr>
          <w:pgSz w:w="11900" w:h="16838" w:orient="portrait"/>
          <w:cols w:equalWidth="0" w:num="1">
            <w:col w:w="9026"/>
          </w:cols>
          <w:pgMar w:left="1440" w:top="1440" w:right="1440" w:bottom="654" w:gutter="0" w:footer="0" w:header="0"/>
        </w:sectPr>
      </w:pPr>
    </w:p>
    <w:p>
      <w:pPr>
        <w:spacing w:after="0" w:line="200" w:lineRule="exact"/>
        <w:rPr>
          <w:sz w:val="20"/>
          <w:szCs w:val="20"/>
          <w:color w:val="auto"/>
        </w:rPr>
      </w:pPr>
    </w:p>
    <w:p>
      <w:pPr>
        <w:spacing w:after="0" w:line="282"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1"/>
          <w:szCs w:val="21"/>
          <w:color w:val="auto"/>
        </w:rPr>
        <w:t>21</w:t>
      </w:r>
    </w:p>
    <w:p>
      <w:pPr>
        <w:sectPr>
          <w:pgSz w:w="11900" w:h="16838" w:orient="portrait"/>
          <w:cols w:equalWidth="0" w:num="1">
            <w:col w:w="9026"/>
          </w:cols>
          <w:pgMar w:left="1440" w:top="1440" w:right="1440" w:bottom="654" w:gutter="0" w:footer="0" w:header="0"/>
          <w:type w:val="continuous"/>
        </w:sectPr>
      </w:pPr>
    </w:p>
    <w:bookmarkStart w:id="21" w:name="page22"/>
    <w:bookmarkEnd w:id="21"/>
    <w:p>
      <w:pPr>
        <w:spacing w:after="0" w:line="200" w:lineRule="exact"/>
        <w:rPr>
          <w:sz w:val="20"/>
          <w:szCs w:val="20"/>
          <w:color w:val="auto"/>
        </w:rPr>
      </w:pPr>
    </w:p>
    <w:p>
      <w:pPr>
        <w:spacing w:after="0" w:line="255" w:lineRule="exact"/>
        <w:rPr>
          <w:sz w:val="20"/>
          <w:szCs w:val="20"/>
          <w:color w:val="auto"/>
        </w:rPr>
      </w:pPr>
    </w:p>
    <w:p>
      <w:pPr>
        <w:jc w:val="both"/>
        <w:ind w:left="260" w:right="266"/>
        <w:spacing w:after="0" w:line="559" w:lineRule="exact"/>
        <w:rPr>
          <w:sz w:val="20"/>
          <w:szCs w:val="20"/>
          <w:color w:val="auto"/>
        </w:rPr>
      </w:pPr>
      <w:r>
        <w:rPr>
          <w:rFonts w:ascii="宋体" w:cs="宋体" w:eastAsia="宋体" w:hAnsi="宋体"/>
          <w:sz w:val="32"/>
          <w:szCs w:val="32"/>
          <w:color w:val="auto"/>
        </w:rPr>
        <w:t>定点分类投放生活垃圾，逐步提升生活垃圾分类质量；确保有害垃圾单独投放，提高废玻璃等低值可回收物收集比例，实现厨余垃圾、其他垃圾有效分开。完善城市生活垃圾分类收集运输体系，建立健全与生活垃圾分类收集相衔接的运输网络，加强与物业单位、生活垃圾清运单位之间的有序衔接，防止生活垃圾</w:t>
      </w:r>
      <w:r>
        <w:rPr>
          <w:rFonts w:ascii="Arial" w:cs="Arial" w:eastAsia="Arial" w:hAnsi="Arial"/>
          <w:sz w:val="32"/>
          <w:szCs w:val="32"/>
          <w:color w:val="auto"/>
        </w:rPr>
        <w:t>“</w:t>
      </w:r>
      <w:r>
        <w:rPr>
          <w:rFonts w:ascii="宋体" w:cs="宋体" w:eastAsia="宋体" w:hAnsi="宋体"/>
          <w:sz w:val="32"/>
          <w:szCs w:val="32"/>
          <w:color w:val="auto"/>
        </w:rPr>
        <w:t>先分后混、混装混运</w:t>
      </w:r>
      <w:r>
        <w:rPr>
          <w:rFonts w:ascii="Arial" w:cs="Arial" w:eastAsia="Arial" w:hAnsi="Arial"/>
          <w:sz w:val="32"/>
          <w:szCs w:val="32"/>
          <w:color w:val="auto"/>
        </w:rPr>
        <w:t>”</w:t>
      </w:r>
      <w:r>
        <w:rPr>
          <w:rFonts w:ascii="宋体" w:cs="宋体" w:eastAsia="宋体" w:hAnsi="宋体"/>
          <w:sz w:val="32"/>
          <w:szCs w:val="32"/>
          <w:color w:val="auto"/>
        </w:rPr>
        <w:t>。按适度超前原则加快推进生活垃圾焚烧处理设施建设，科学有序推进适应中小城市垃圾焚烧处理的技术和设施，统筹规划建设应急填埋处理设施，加快补齐厨余垃圾和有害垃圾处理设施短板。鼓励生活垃圾处理产业园区建设，优化技术工艺，统筹不同类别生活垃圾处理和资源化利用。</w:t>
      </w:r>
    </w:p>
    <w:p>
      <w:pPr>
        <w:spacing w:after="0" w:line="283" w:lineRule="exact"/>
        <w:rPr>
          <w:sz w:val="20"/>
          <w:szCs w:val="20"/>
          <w:color w:val="auto"/>
        </w:rPr>
      </w:pPr>
    </w:p>
    <w:p>
      <w:pPr>
        <w:ind w:left="260" w:right="106" w:firstLine="638"/>
        <w:spacing w:after="0" w:line="557" w:lineRule="exact"/>
        <w:rPr>
          <w:sz w:val="20"/>
          <w:szCs w:val="20"/>
          <w:color w:val="auto"/>
        </w:rPr>
      </w:pPr>
      <w:r>
        <w:rPr>
          <w:rFonts w:ascii="Arial" w:cs="Arial" w:eastAsia="Arial" w:hAnsi="Arial"/>
          <w:sz w:val="31"/>
          <w:szCs w:val="31"/>
          <w:color w:val="0C0C0C"/>
        </w:rPr>
        <w:t>2.</w:t>
      </w:r>
      <w:r>
        <w:rPr>
          <w:rFonts w:ascii="宋体" w:cs="宋体" w:eastAsia="宋体" w:hAnsi="宋体"/>
          <w:sz w:val="31"/>
          <w:szCs w:val="31"/>
          <w:color w:val="0C0C0C"/>
        </w:rPr>
        <w:t>完善城市生活垃圾资源回收利用体系。</w:t>
      </w:r>
      <w:r>
        <w:rPr>
          <w:rFonts w:ascii="宋体" w:cs="宋体" w:eastAsia="宋体" w:hAnsi="宋体"/>
          <w:sz w:val="31"/>
          <w:szCs w:val="31"/>
          <w:color w:val="000000"/>
        </w:rPr>
        <w:t>统筹推进生活垃圾分类网点与废旧物资回收网点</w:t>
      </w:r>
      <w:r>
        <w:rPr>
          <w:rFonts w:ascii="Arial" w:cs="Arial" w:eastAsia="Arial" w:hAnsi="Arial"/>
          <w:sz w:val="31"/>
          <w:szCs w:val="31"/>
          <w:color w:val="000000"/>
        </w:rPr>
        <w:t>“</w:t>
      </w:r>
      <w:r>
        <w:rPr>
          <w:rFonts w:ascii="宋体" w:cs="宋体" w:eastAsia="宋体" w:hAnsi="宋体"/>
          <w:sz w:val="31"/>
          <w:szCs w:val="31"/>
          <w:color w:val="000000"/>
        </w:rPr>
        <w:t>两网融合</w:t>
      </w:r>
      <w:r>
        <w:rPr>
          <w:rFonts w:ascii="Arial" w:cs="Arial" w:eastAsia="Arial" w:hAnsi="Arial"/>
          <w:sz w:val="31"/>
          <w:szCs w:val="31"/>
          <w:color w:val="000000"/>
        </w:rPr>
        <w:t>”</w:t>
      </w:r>
      <w:r>
        <w:rPr>
          <w:rFonts w:ascii="宋体" w:cs="宋体" w:eastAsia="宋体" w:hAnsi="宋体"/>
          <w:sz w:val="31"/>
          <w:szCs w:val="31"/>
          <w:color w:val="000000"/>
        </w:rPr>
        <w:t>，推动回收利用行业转型升级，针对不同类别，合理布局、规范建设回收网络体系，推动废玻璃等低值可回收物的回收和再生利用。加快探索适合我国厨余垃圾特性的处理技术路线，积极探索厨余垃圾与园林绿化垃圾协同处理技术，鼓励各地因地制宜选用厨余垃圾处理工艺，着力解决好堆肥工艺中沼液、沼渣等产品在农业、林业生产中应用的</w:t>
      </w:r>
      <w:r>
        <w:rPr>
          <w:rFonts w:ascii="Arial" w:cs="Arial" w:eastAsia="Arial" w:hAnsi="Arial"/>
          <w:sz w:val="31"/>
          <w:szCs w:val="31"/>
          <w:color w:val="000000"/>
        </w:rPr>
        <w:t>“</w:t>
      </w:r>
      <w:r>
        <w:rPr>
          <w:rFonts w:ascii="宋体" w:cs="宋体" w:eastAsia="宋体" w:hAnsi="宋体"/>
          <w:sz w:val="31"/>
          <w:szCs w:val="31"/>
          <w:color w:val="000000"/>
        </w:rPr>
        <w:t>梗阻</w:t>
      </w:r>
      <w:r>
        <w:rPr>
          <w:rFonts w:ascii="Arial" w:cs="Arial" w:eastAsia="Arial" w:hAnsi="Arial"/>
          <w:sz w:val="31"/>
          <w:szCs w:val="31"/>
          <w:color w:val="000000"/>
        </w:rPr>
        <w:t>”</w:t>
      </w:r>
      <w:r>
        <w:rPr>
          <w:rFonts w:ascii="宋体" w:cs="宋体" w:eastAsia="宋体" w:hAnsi="宋体"/>
          <w:sz w:val="31"/>
          <w:szCs w:val="31"/>
          <w:color w:val="000000"/>
        </w:rPr>
        <w:t>问题。加快生物质能源回收利用工作，提高用于生活垃圾焚烧发电和填埋气体发电的利用规模。</w:t>
      </w:r>
      <w:r>
        <w:rPr>
          <w:rFonts w:ascii="Arial" w:cs="Arial" w:eastAsia="Arial" w:hAnsi="Arial"/>
          <w:sz w:val="31"/>
          <w:szCs w:val="31"/>
          <w:color w:val="000000"/>
        </w:rPr>
        <w:t>“</w:t>
      </w:r>
      <w:r>
        <w:rPr>
          <w:rFonts w:ascii="宋体" w:cs="宋体" w:eastAsia="宋体" w:hAnsi="宋体"/>
          <w:sz w:val="31"/>
          <w:szCs w:val="31"/>
          <w:color w:val="000000"/>
        </w:rPr>
        <w:t>十四五</w:t>
      </w:r>
      <w:r>
        <w:rPr>
          <w:rFonts w:ascii="Arial" w:cs="Arial" w:eastAsia="Arial" w:hAnsi="Arial"/>
          <w:sz w:val="31"/>
          <w:szCs w:val="31"/>
          <w:color w:val="000000"/>
        </w:rPr>
        <w:t>”</w:t>
      </w:r>
      <w:r>
        <w:rPr>
          <w:rFonts w:ascii="宋体" w:cs="宋体" w:eastAsia="宋体" w:hAnsi="宋体"/>
          <w:sz w:val="31"/>
          <w:szCs w:val="31"/>
          <w:color w:val="000000"/>
        </w:rPr>
        <w:t>期末，地级及以上城市基本建立因地制宜的生活垃</w:t>
      </w:r>
    </w:p>
    <w:p>
      <w:pPr>
        <w:spacing w:after="0" w:line="275" w:lineRule="exact"/>
        <w:rPr>
          <w:sz w:val="20"/>
          <w:szCs w:val="20"/>
          <w:color w:val="auto"/>
        </w:rPr>
      </w:pPr>
    </w:p>
    <w:p>
      <w:pPr>
        <w:ind w:left="260" w:right="266"/>
        <w:spacing w:after="0" w:line="451" w:lineRule="exact"/>
        <w:rPr>
          <w:sz w:val="20"/>
          <w:szCs w:val="20"/>
          <w:color w:val="auto"/>
        </w:rPr>
      </w:pPr>
      <w:r>
        <w:rPr>
          <w:rFonts w:ascii="宋体" w:cs="宋体" w:eastAsia="宋体" w:hAnsi="宋体"/>
          <w:sz w:val="32"/>
          <w:szCs w:val="32"/>
          <w:color w:val="auto"/>
        </w:rPr>
        <w:t>圾分类投放、分类收集、分类运输、分类处理系统，居民普遍形成生活垃圾分类习惯。</w:t>
      </w:r>
    </w:p>
    <w:p>
      <w:pPr>
        <w:sectPr>
          <w:pgSz w:w="11900" w:h="16838" w:orient="portrait"/>
          <w:cols w:equalWidth="0" w:num="1">
            <w:col w:w="9026"/>
          </w:cols>
          <w:pgMar w:left="1440" w:top="1440" w:right="1440" w:bottom="654" w:gutter="0" w:footer="0" w:header="0"/>
        </w:sectPr>
      </w:pPr>
    </w:p>
    <w:p>
      <w:pPr>
        <w:spacing w:after="0" w:line="318"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1"/>
          <w:szCs w:val="21"/>
          <w:color w:val="auto"/>
        </w:rPr>
        <w:t>22</w:t>
      </w:r>
    </w:p>
    <w:p>
      <w:pPr>
        <w:sectPr>
          <w:pgSz w:w="11900" w:h="16838" w:orient="portrait"/>
          <w:cols w:equalWidth="0" w:num="1">
            <w:col w:w="9026"/>
          </w:cols>
          <w:pgMar w:left="1440" w:top="1440" w:right="1440" w:bottom="654" w:gutter="0" w:footer="0" w:header="0"/>
          <w:type w:val="continuous"/>
        </w:sectPr>
      </w:pPr>
    </w:p>
    <w:bookmarkStart w:id="22" w:name="page23"/>
    <w:bookmarkEnd w:id="22"/>
    <w:p>
      <w:pPr>
        <w:spacing w:after="0" w:line="200" w:lineRule="exact"/>
        <w:rPr>
          <w:sz w:val="20"/>
          <w:szCs w:val="20"/>
          <w:color w:val="auto"/>
        </w:rPr>
      </w:pPr>
    </w:p>
    <w:p>
      <w:pPr>
        <w:spacing w:after="0" w:line="255" w:lineRule="exact"/>
        <w:rPr>
          <w:sz w:val="20"/>
          <w:szCs w:val="20"/>
          <w:color w:val="auto"/>
        </w:rPr>
      </w:pPr>
    </w:p>
    <w:p>
      <w:pPr>
        <w:jc w:val="both"/>
        <w:ind w:left="260" w:right="266" w:firstLine="638"/>
        <w:spacing w:after="0" w:line="565" w:lineRule="exact"/>
        <w:rPr>
          <w:sz w:val="20"/>
          <w:szCs w:val="20"/>
          <w:color w:val="auto"/>
        </w:rPr>
      </w:pPr>
      <w:r>
        <w:rPr>
          <w:rFonts w:ascii="Arial" w:cs="Arial" w:eastAsia="Arial" w:hAnsi="Arial"/>
          <w:sz w:val="31"/>
          <w:szCs w:val="31"/>
          <w:color w:val="0C0C0C"/>
        </w:rPr>
        <w:t>3.</w:t>
      </w:r>
      <w:r>
        <w:rPr>
          <w:rFonts w:ascii="宋体" w:cs="宋体" w:eastAsia="宋体" w:hAnsi="宋体"/>
          <w:sz w:val="31"/>
          <w:szCs w:val="31"/>
          <w:color w:val="0C0C0C"/>
        </w:rPr>
        <w:t>建立健全建筑垃圾治理和综合利用体系。</w:t>
      </w:r>
      <w:r>
        <w:rPr>
          <w:rFonts w:ascii="宋体" w:cs="宋体" w:eastAsia="宋体" w:hAnsi="宋体"/>
          <w:sz w:val="31"/>
          <w:szCs w:val="31"/>
          <w:color w:val="000000"/>
        </w:rPr>
        <w:t>建立建筑垃圾分类全过程管理制度，加强建筑垃圾产生、转运、调配、消纳处置以及资源化利用全过程管理，实现工程渣土（弃土）、工程泥浆、工程垃圾、拆除垃圾、装修垃圾等不同类别的建筑垃圾分类收集、分类运输、分类处理与资源化利用。加强建筑垃圾源头管控，落实减量化主体责任。加快建筑垃圾处理设施建设，把建筑垃圾处理与资源化利用设施作为城市基础设施建设的重要组成部分，合理确定建筑垃圾转运调配、填埋处理、资源化利用设施布局和规模。健全建筑垃圾再生建材产品应用体系，不断提升再生建材产品质量，促进再生建材行业生产和应用技术进步。培育一批建筑垃圾资源化利用骨干企业，提升建筑垃圾资源化利用水平。</w:t>
      </w:r>
      <w:r>
        <w:rPr>
          <w:rFonts w:ascii="Arial" w:cs="Arial" w:eastAsia="Arial" w:hAnsi="Arial"/>
          <w:sz w:val="31"/>
          <w:szCs w:val="31"/>
          <w:color w:val="000000"/>
        </w:rPr>
        <w:t>“</w:t>
      </w:r>
      <w:r>
        <w:rPr>
          <w:rFonts w:ascii="宋体" w:cs="宋体" w:eastAsia="宋体" w:hAnsi="宋体"/>
          <w:sz w:val="31"/>
          <w:szCs w:val="31"/>
          <w:color w:val="000000"/>
        </w:rPr>
        <w:t>十四五</w:t>
      </w:r>
      <w:r>
        <w:rPr>
          <w:rFonts w:ascii="Arial" w:cs="Arial" w:eastAsia="Arial" w:hAnsi="Arial"/>
          <w:sz w:val="31"/>
          <w:szCs w:val="31"/>
          <w:color w:val="000000"/>
        </w:rPr>
        <w:t>”</w:t>
      </w:r>
      <w:r>
        <w:rPr>
          <w:rFonts w:ascii="宋体" w:cs="宋体" w:eastAsia="宋体" w:hAnsi="宋体"/>
          <w:sz w:val="31"/>
          <w:szCs w:val="31"/>
          <w:color w:val="000000"/>
        </w:rPr>
        <w:t>期末，地级及以上城市初步建立全过程管理的建筑垃圾综合治理体系，基本形成建筑垃圾减量化、无害化、资源化利用和产业发展体系。</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93980</wp:posOffset>
            </wp:positionH>
            <wp:positionV relativeFrom="paragraph">
              <wp:posOffset>50800</wp:posOffset>
            </wp:positionV>
            <wp:extent cx="5542915" cy="21361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542915" cy="2136140"/>
                    </a:xfrm>
                    <a:prstGeom prst="rect">
                      <a:avLst/>
                    </a:prstGeom>
                    <a:noFill/>
                  </pic:spPr>
                </pic:pic>
              </a:graphicData>
            </a:graphic>
          </wp:anchor>
        </w:drawing>
      </w:r>
    </w:p>
    <w:p>
      <w:pPr>
        <w:spacing w:after="0" w:line="242" w:lineRule="exact"/>
        <w:rPr>
          <w:sz w:val="20"/>
          <w:szCs w:val="20"/>
          <w:color w:val="auto"/>
        </w:rPr>
      </w:pPr>
    </w:p>
    <w:p>
      <w:pPr>
        <w:jc w:val="center"/>
        <w:ind w:right="6"/>
        <w:spacing w:after="0" w:line="343" w:lineRule="exact"/>
        <w:rPr>
          <w:sz w:val="20"/>
          <w:szCs w:val="20"/>
          <w:color w:val="auto"/>
        </w:rPr>
      </w:pPr>
      <w:r>
        <w:rPr>
          <w:rFonts w:ascii="黑体" w:cs="黑体" w:eastAsia="黑体" w:hAnsi="黑体"/>
          <w:sz w:val="30"/>
          <w:szCs w:val="30"/>
          <w:color w:val="0C0C0C"/>
        </w:rPr>
        <w:t>专栏 4：城市环境卫生提升工程</w:t>
      </w:r>
    </w:p>
    <w:p>
      <w:pPr>
        <w:spacing w:after="0" w:line="199" w:lineRule="exact"/>
        <w:rPr>
          <w:sz w:val="20"/>
          <w:szCs w:val="20"/>
          <w:color w:val="auto"/>
        </w:rPr>
      </w:pPr>
    </w:p>
    <w:p>
      <w:pPr>
        <w:jc w:val="both"/>
        <w:ind w:left="260" w:right="266" w:firstLine="559"/>
        <w:spacing w:after="0" w:line="415" w:lineRule="exact"/>
        <w:rPr>
          <w:sz w:val="20"/>
          <w:szCs w:val="20"/>
          <w:color w:val="auto"/>
        </w:rPr>
      </w:pPr>
      <w:r>
        <w:rPr>
          <w:rFonts w:ascii="Arial" w:cs="Arial" w:eastAsia="Arial" w:hAnsi="Arial"/>
          <w:sz w:val="28"/>
          <w:szCs w:val="28"/>
          <w:color w:val="0C0C0C"/>
        </w:rPr>
        <w:t>1.</w:t>
      </w:r>
      <w:r>
        <w:rPr>
          <w:rFonts w:ascii="宋体" w:cs="宋体" w:eastAsia="宋体" w:hAnsi="宋体"/>
          <w:sz w:val="28"/>
          <w:szCs w:val="28"/>
          <w:color w:val="0C0C0C"/>
        </w:rPr>
        <w:t>城市生活垃圾分类处理体系建设。</w:t>
      </w:r>
      <w:r>
        <w:rPr>
          <w:rFonts w:ascii="Arial" w:cs="Arial" w:eastAsia="Arial" w:hAnsi="Arial"/>
          <w:sz w:val="28"/>
          <w:szCs w:val="28"/>
          <w:color w:val="0C0C0C"/>
        </w:rPr>
        <w:t>“</w:t>
      </w:r>
      <w:r>
        <w:rPr>
          <w:rFonts w:ascii="宋体" w:cs="宋体" w:eastAsia="宋体" w:hAnsi="宋体"/>
          <w:sz w:val="28"/>
          <w:szCs w:val="28"/>
          <w:color w:val="0C0C0C"/>
        </w:rPr>
        <w:t>十四五</w:t>
      </w:r>
      <w:r>
        <w:rPr>
          <w:rFonts w:ascii="Arial" w:cs="Arial" w:eastAsia="Arial" w:hAnsi="Arial"/>
          <w:sz w:val="28"/>
          <w:szCs w:val="28"/>
          <w:color w:val="0C0C0C"/>
        </w:rPr>
        <w:t>”</w:t>
      </w:r>
      <w:r>
        <w:rPr>
          <w:rFonts w:ascii="宋体" w:cs="宋体" w:eastAsia="宋体" w:hAnsi="宋体"/>
          <w:sz w:val="28"/>
          <w:szCs w:val="28"/>
          <w:color w:val="0C0C0C"/>
        </w:rPr>
        <w:t>期间，全国城市新增生活垃圾分类收运能力</w:t>
      </w:r>
      <w:r>
        <w:rPr>
          <w:rFonts w:ascii="Arial" w:cs="Arial" w:eastAsia="Arial" w:hAnsi="Arial"/>
          <w:sz w:val="28"/>
          <w:szCs w:val="28"/>
          <w:color w:val="0C0C0C"/>
        </w:rPr>
        <w:t xml:space="preserve"> 20 </w:t>
      </w:r>
      <w:r>
        <w:rPr>
          <w:rFonts w:ascii="宋体" w:cs="宋体" w:eastAsia="宋体" w:hAnsi="宋体"/>
          <w:sz w:val="28"/>
          <w:szCs w:val="28"/>
          <w:color w:val="0C0C0C"/>
        </w:rPr>
        <w:t>万吨</w:t>
      </w:r>
      <w:r>
        <w:rPr>
          <w:rFonts w:ascii="Arial" w:cs="Arial" w:eastAsia="Arial" w:hAnsi="Arial"/>
          <w:sz w:val="28"/>
          <w:szCs w:val="28"/>
          <w:color w:val="0C0C0C"/>
        </w:rPr>
        <w:t>/</w:t>
      </w:r>
      <w:r>
        <w:rPr>
          <w:rFonts w:ascii="宋体" w:cs="宋体" w:eastAsia="宋体" w:hAnsi="宋体"/>
          <w:sz w:val="28"/>
          <w:szCs w:val="28"/>
          <w:color w:val="0C0C0C"/>
        </w:rPr>
        <w:t>日、生活垃圾焚烧处理能力</w:t>
      </w:r>
      <w:r>
        <w:rPr>
          <w:rFonts w:ascii="Arial" w:cs="Arial" w:eastAsia="Arial" w:hAnsi="Arial"/>
          <w:sz w:val="28"/>
          <w:szCs w:val="28"/>
          <w:color w:val="0C0C0C"/>
        </w:rPr>
        <w:t xml:space="preserve"> 20 </w:t>
      </w:r>
      <w:r>
        <w:rPr>
          <w:rFonts w:ascii="宋体" w:cs="宋体" w:eastAsia="宋体" w:hAnsi="宋体"/>
          <w:sz w:val="28"/>
          <w:szCs w:val="28"/>
          <w:color w:val="0C0C0C"/>
        </w:rPr>
        <w:t>万吨</w:t>
      </w:r>
      <w:r>
        <w:rPr>
          <w:rFonts w:ascii="Arial" w:cs="Arial" w:eastAsia="Arial" w:hAnsi="Arial"/>
          <w:sz w:val="28"/>
          <w:szCs w:val="28"/>
          <w:color w:val="0C0C0C"/>
        </w:rPr>
        <w:t>/</w:t>
      </w:r>
      <w:r>
        <w:rPr>
          <w:rFonts w:ascii="宋体" w:cs="宋体" w:eastAsia="宋体" w:hAnsi="宋体"/>
          <w:sz w:val="28"/>
          <w:szCs w:val="28"/>
          <w:color w:val="0C0C0C"/>
        </w:rPr>
        <w:t>日、生活垃圾资源化处理能力</w:t>
      </w:r>
      <w:r>
        <w:rPr>
          <w:rFonts w:ascii="Arial" w:cs="Arial" w:eastAsia="Arial" w:hAnsi="Arial"/>
          <w:sz w:val="28"/>
          <w:szCs w:val="28"/>
          <w:color w:val="0C0C0C"/>
        </w:rPr>
        <w:t xml:space="preserve"> 3000 </w:t>
      </w:r>
      <w:r>
        <w:rPr>
          <w:rFonts w:ascii="宋体" w:cs="宋体" w:eastAsia="宋体" w:hAnsi="宋体"/>
          <w:sz w:val="28"/>
          <w:szCs w:val="28"/>
          <w:color w:val="0C0C0C"/>
        </w:rPr>
        <w:t>万吨</w:t>
      </w:r>
      <w:r>
        <w:rPr>
          <w:rFonts w:ascii="Arial" w:cs="Arial" w:eastAsia="Arial" w:hAnsi="Arial"/>
          <w:sz w:val="28"/>
          <w:szCs w:val="28"/>
          <w:color w:val="0C0C0C"/>
        </w:rPr>
        <w:t>/</w:t>
      </w:r>
      <w:r>
        <w:rPr>
          <w:rFonts w:ascii="宋体" w:cs="宋体" w:eastAsia="宋体" w:hAnsi="宋体"/>
          <w:sz w:val="28"/>
          <w:szCs w:val="28"/>
          <w:color w:val="0C0C0C"/>
        </w:rPr>
        <w:t>年，改造存量生活垃圾处理设施</w:t>
      </w:r>
      <w:r>
        <w:rPr>
          <w:rFonts w:ascii="Arial" w:cs="Arial" w:eastAsia="Arial" w:hAnsi="Arial"/>
          <w:sz w:val="28"/>
          <w:szCs w:val="28"/>
          <w:color w:val="0C0C0C"/>
        </w:rPr>
        <w:t xml:space="preserve"> 500 </w:t>
      </w:r>
      <w:r>
        <w:rPr>
          <w:rFonts w:ascii="宋体" w:cs="宋体" w:eastAsia="宋体" w:hAnsi="宋体"/>
          <w:sz w:val="28"/>
          <w:szCs w:val="28"/>
          <w:color w:val="0C0C0C"/>
        </w:rPr>
        <w:t>个。</w:t>
      </w:r>
    </w:p>
    <w:p>
      <w:pPr>
        <w:spacing w:after="0" w:line="184" w:lineRule="exact"/>
        <w:rPr>
          <w:sz w:val="20"/>
          <w:szCs w:val="20"/>
          <w:color w:val="auto"/>
        </w:rPr>
      </w:pPr>
    </w:p>
    <w:p>
      <w:pPr>
        <w:ind w:left="260" w:right="146" w:firstLine="559"/>
        <w:spacing w:after="0" w:line="370" w:lineRule="exact"/>
        <w:rPr>
          <w:sz w:val="20"/>
          <w:szCs w:val="20"/>
          <w:color w:val="auto"/>
        </w:rPr>
      </w:pPr>
      <w:r>
        <w:rPr>
          <w:rFonts w:ascii="Arial" w:cs="Arial" w:eastAsia="Arial" w:hAnsi="Arial"/>
          <w:sz w:val="28"/>
          <w:szCs w:val="28"/>
          <w:color w:val="0C0C0C"/>
        </w:rPr>
        <w:t>2.</w:t>
      </w:r>
      <w:r>
        <w:rPr>
          <w:rFonts w:ascii="宋体" w:cs="宋体" w:eastAsia="宋体" w:hAnsi="宋体"/>
          <w:sz w:val="28"/>
          <w:szCs w:val="28"/>
          <w:color w:val="0C0C0C"/>
        </w:rPr>
        <w:t>城市建筑垃圾治理体系建设。</w:t>
      </w:r>
      <w:r>
        <w:rPr>
          <w:rFonts w:ascii="Arial" w:cs="Arial" w:eastAsia="Arial" w:hAnsi="Arial"/>
          <w:sz w:val="28"/>
          <w:szCs w:val="28"/>
          <w:color w:val="0C0C0C"/>
        </w:rPr>
        <w:t>“</w:t>
      </w:r>
      <w:r>
        <w:rPr>
          <w:rFonts w:ascii="宋体" w:cs="宋体" w:eastAsia="宋体" w:hAnsi="宋体"/>
          <w:sz w:val="28"/>
          <w:szCs w:val="28"/>
          <w:color w:val="0C0C0C"/>
        </w:rPr>
        <w:t>十四五</w:t>
      </w:r>
      <w:r>
        <w:rPr>
          <w:rFonts w:ascii="Arial" w:cs="Arial" w:eastAsia="Arial" w:hAnsi="Arial"/>
          <w:sz w:val="28"/>
          <w:szCs w:val="28"/>
          <w:color w:val="0C0C0C"/>
        </w:rPr>
        <w:t>”</w:t>
      </w:r>
      <w:r>
        <w:rPr>
          <w:rFonts w:ascii="宋体" w:cs="宋体" w:eastAsia="宋体" w:hAnsi="宋体"/>
          <w:sz w:val="28"/>
          <w:szCs w:val="28"/>
          <w:color w:val="0C0C0C"/>
        </w:rPr>
        <w:t>期间，全国城市新增建筑垃圾消纳能力</w:t>
      </w:r>
      <w:r>
        <w:rPr>
          <w:rFonts w:ascii="Arial" w:cs="Arial" w:eastAsia="Arial" w:hAnsi="Arial"/>
          <w:sz w:val="28"/>
          <w:szCs w:val="28"/>
          <w:color w:val="0C0C0C"/>
        </w:rPr>
        <w:t xml:space="preserve"> 4 </w:t>
      </w:r>
      <w:r>
        <w:rPr>
          <w:rFonts w:ascii="宋体" w:cs="宋体" w:eastAsia="宋体" w:hAnsi="宋体"/>
          <w:sz w:val="28"/>
          <w:szCs w:val="28"/>
          <w:color w:val="0C0C0C"/>
        </w:rPr>
        <w:t>亿吨</w:t>
      </w:r>
      <w:r>
        <w:rPr>
          <w:rFonts w:ascii="Arial" w:cs="Arial" w:eastAsia="Arial" w:hAnsi="Arial"/>
          <w:sz w:val="28"/>
          <w:szCs w:val="28"/>
          <w:color w:val="0C0C0C"/>
        </w:rPr>
        <w:t>/</w:t>
      </w:r>
      <w:r>
        <w:rPr>
          <w:rFonts w:ascii="宋体" w:cs="宋体" w:eastAsia="宋体" w:hAnsi="宋体"/>
          <w:sz w:val="28"/>
          <w:szCs w:val="28"/>
          <w:color w:val="0C0C0C"/>
        </w:rPr>
        <w:t>年，建筑垃圾资源化利用能力</w:t>
      </w:r>
      <w:r>
        <w:rPr>
          <w:rFonts w:ascii="Arial" w:cs="Arial" w:eastAsia="Arial" w:hAnsi="Arial"/>
          <w:sz w:val="28"/>
          <w:szCs w:val="28"/>
          <w:color w:val="0C0C0C"/>
        </w:rPr>
        <w:t xml:space="preserve"> 2.5 </w:t>
      </w:r>
      <w:r>
        <w:rPr>
          <w:rFonts w:ascii="宋体" w:cs="宋体" w:eastAsia="宋体" w:hAnsi="宋体"/>
          <w:sz w:val="28"/>
          <w:szCs w:val="28"/>
          <w:color w:val="0C0C0C"/>
        </w:rPr>
        <w:t>亿吨</w:t>
      </w:r>
      <w:r>
        <w:rPr>
          <w:rFonts w:ascii="Arial" w:cs="Arial" w:eastAsia="Arial" w:hAnsi="Arial"/>
          <w:sz w:val="28"/>
          <w:szCs w:val="28"/>
          <w:color w:val="0C0C0C"/>
        </w:rPr>
        <w:t>/</w:t>
      </w:r>
      <w:r>
        <w:rPr>
          <w:rFonts w:ascii="宋体" w:cs="宋体" w:eastAsia="宋体" w:hAnsi="宋体"/>
          <w:sz w:val="28"/>
          <w:szCs w:val="28"/>
          <w:color w:val="0C0C0C"/>
        </w:rPr>
        <w:t>年。</w:t>
      </w:r>
    </w:p>
    <w:p>
      <w:pPr>
        <w:spacing w:after="0" w:line="211"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（五）城市园林绿化提升行动。</w:t>
      </w:r>
    </w:p>
    <w:p>
      <w:pPr>
        <w:spacing w:after="0" w:line="195"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0C0C0C"/>
        </w:rPr>
        <w:t>1.</w:t>
      </w:r>
      <w:r>
        <w:rPr>
          <w:rFonts w:ascii="宋体" w:cs="宋体" w:eastAsia="宋体" w:hAnsi="宋体"/>
          <w:sz w:val="32"/>
          <w:szCs w:val="32"/>
          <w:color w:val="0C0C0C"/>
        </w:rPr>
        <w:t>完善城市绿地系统。</w:t>
      </w:r>
      <w:r>
        <w:rPr>
          <w:rFonts w:ascii="宋体" w:cs="宋体" w:eastAsia="宋体" w:hAnsi="宋体"/>
          <w:sz w:val="32"/>
          <w:szCs w:val="32"/>
          <w:color w:val="000000"/>
        </w:rPr>
        <w:t>建设城市与自然和谐共生的绿色空</w:t>
      </w:r>
    </w:p>
    <w:p>
      <w:pPr>
        <w:spacing w:after="0" w:line="23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间格局。完善城市结构性绿地布局，形成连续完整的网络系统</w:t>
      </w:r>
    </w:p>
    <w:p>
      <w:pPr>
        <w:sectPr>
          <w:pgSz w:w="11900" w:h="16838" w:orient="portrait"/>
          <w:cols w:equalWidth="0" w:num="1">
            <w:col w:w="9026"/>
          </w:cols>
          <w:pgMar w:left="1440" w:top="1440" w:right="1440" w:bottom="654" w:gutter="0" w:footer="0" w:header="0"/>
        </w:sectPr>
      </w:pPr>
    </w:p>
    <w:p>
      <w:pPr>
        <w:spacing w:after="0" w:line="200" w:lineRule="exact"/>
        <w:rPr>
          <w:sz w:val="20"/>
          <w:szCs w:val="20"/>
          <w:color w:val="auto"/>
        </w:rPr>
      </w:pPr>
    </w:p>
    <w:p>
      <w:pPr>
        <w:spacing w:after="0" w:line="258"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1"/>
          <w:szCs w:val="21"/>
          <w:color w:val="auto"/>
        </w:rPr>
        <w:t>23</w:t>
      </w:r>
    </w:p>
    <w:p>
      <w:pPr>
        <w:sectPr>
          <w:pgSz w:w="11900" w:h="16838" w:orient="portrait"/>
          <w:cols w:equalWidth="0" w:num="1">
            <w:col w:w="9026"/>
          </w:cols>
          <w:pgMar w:left="1440" w:top="1440" w:right="1440" w:bottom="654" w:gutter="0" w:footer="0" w:header="0"/>
          <w:type w:val="continuous"/>
        </w:sectPr>
      </w:pPr>
    </w:p>
    <w:bookmarkStart w:id="23" w:name="page24"/>
    <w:bookmarkEnd w:id="23"/>
    <w:p>
      <w:pPr>
        <w:spacing w:after="0" w:line="200" w:lineRule="exact"/>
        <w:rPr>
          <w:sz w:val="20"/>
          <w:szCs w:val="20"/>
          <w:color w:val="auto"/>
        </w:rPr>
      </w:pPr>
    </w:p>
    <w:p>
      <w:pPr>
        <w:spacing w:after="0" w:line="255" w:lineRule="exact"/>
        <w:rPr>
          <w:sz w:val="20"/>
          <w:szCs w:val="20"/>
          <w:color w:val="auto"/>
        </w:rPr>
      </w:pPr>
    </w:p>
    <w:p>
      <w:pPr>
        <w:ind w:left="260" w:right="266"/>
        <w:spacing w:after="0" w:line="451" w:lineRule="exact"/>
        <w:rPr>
          <w:sz w:val="20"/>
          <w:szCs w:val="20"/>
          <w:color w:val="auto"/>
        </w:rPr>
      </w:pPr>
      <w:r>
        <w:rPr>
          <w:rFonts w:ascii="宋体" w:cs="宋体" w:eastAsia="宋体" w:hAnsi="宋体"/>
          <w:sz w:val="32"/>
          <w:szCs w:val="32"/>
          <w:color w:val="auto"/>
        </w:rPr>
        <w:t>和安全屏障，控制城市无序蔓延，优化城市形态结构，让城市融入自然。</w:t>
      </w:r>
    </w:p>
    <w:p>
      <w:pPr>
        <w:spacing w:after="0" w:line="268" w:lineRule="exact"/>
        <w:rPr>
          <w:sz w:val="20"/>
          <w:szCs w:val="20"/>
          <w:color w:val="auto"/>
        </w:rPr>
      </w:pPr>
    </w:p>
    <w:p>
      <w:pPr>
        <w:ind w:left="260" w:right="106" w:firstLine="638"/>
        <w:spacing w:after="0" w:line="539" w:lineRule="exact"/>
        <w:rPr>
          <w:sz w:val="20"/>
          <w:szCs w:val="20"/>
          <w:color w:val="auto"/>
        </w:rPr>
      </w:pPr>
      <w:r>
        <w:rPr>
          <w:rFonts w:ascii="宋体" w:cs="宋体" w:eastAsia="宋体" w:hAnsi="宋体"/>
          <w:sz w:val="31"/>
          <w:szCs w:val="31"/>
          <w:color w:val="auto"/>
        </w:rPr>
        <w:t>完善城市公园体系。丰富城市公园类型，形成以郊野公园、综合公园、专类公园、社区公园、街头游园为主，大中小级配合理、特色鲜明、分布均衡的城市公园体系，提高城市公园绿化活动场地服务半径覆盖率，推动实现</w:t>
      </w:r>
      <w:r>
        <w:rPr>
          <w:rFonts w:ascii="Arial" w:cs="Arial" w:eastAsia="Arial" w:hAnsi="Arial"/>
          <w:sz w:val="31"/>
          <w:szCs w:val="31"/>
          <w:color w:val="auto"/>
        </w:rPr>
        <w:t>“300</w:t>
      </w:r>
      <w:r>
        <w:rPr>
          <w:rFonts w:ascii="宋体" w:cs="宋体" w:eastAsia="宋体" w:hAnsi="宋体"/>
          <w:sz w:val="31"/>
          <w:szCs w:val="31"/>
          <w:color w:val="auto"/>
        </w:rPr>
        <w:t>米见绿、</w:t>
      </w:r>
      <w:r>
        <w:rPr>
          <w:rFonts w:ascii="Arial" w:cs="Arial" w:eastAsia="Arial" w:hAnsi="Arial"/>
          <w:sz w:val="31"/>
          <w:szCs w:val="31"/>
          <w:color w:val="auto"/>
        </w:rPr>
        <w:t>500</w:t>
      </w:r>
      <w:r>
        <w:rPr>
          <w:rFonts w:ascii="宋体" w:cs="宋体" w:eastAsia="宋体" w:hAnsi="宋体"/>
          <w:sz w:val="31"/>
          <w:szCs w:val="31"/>
          <w:color w:val="auto"/>
        </w:rPr>
        <w:t>米见园</w:t>
      </w:r>
      <w:r>
        <w:rPr>
          <w:rFonts w:ascii="Arial" w:cs="Arial" w:eastAsia="Arial" w:hAnsi="Arial"/>
          <w:sz w:val="31"/>
          <w:szCs w:val="31"/>
          <w:color w:val="auto"/>
        </w:rPr>
        <w:t>”</w:t>
      </w:r>
      <w:r>
        <w:rPr>
          <w:rFonts w:ascii="宋体" w:cs="宋体" w:eastAsia="宋体" w:hAnsi="宋体"/>
          <w:sz w:val="31"/>
          <w:szCs w:val="31"/>
          <w:color w:val="auto"/>
        </w:rPr>
        <w:t>。不断完善城市公园服务功能，满足城市居民休闲游憩、健身、安全等多功能综合需求，提升城市宜居品质。</w:t>
      </w:r>
    </w:p>
    <w:p>
      <w:pPr>
        <w:spacing w:after="0" w:line="273" w:lineRule="exact"/>
        <w:rPr>
          <w:sz w:val="20"/>
          <w:szCs w:val="20"/>
          <w:color w:val="auto"/>
        </w:rPr>
      </w:pPr>
    </w:p>
    <w:p>
      <w:pPr>
        <w:ind w:left="260" w:right="126" w:firstLine="638"/>
        <w:spacing w:after="0" w:line="540" w:lineRule="exact"/>
        <w:rPr>
          <w:sz w:val="20"/>
          <w:szCs w:val="20"/>
          <w:color w:val="auto"/>
        </w:rPr>
      </w:pPr>
      <w:r>
        <w:rPr>
          <w:rFonts w:ascii="Arial" w:cs="Arial" w:eastAsia="Arial" w:hAnsi="Arial"/>
          <w:sz w:val="32"/>
          <w:szCs w:val="32"/>
          <w:color w:val="0C0C0C"/>
        </w:rPr>
        <w:t>2.</w:t>
      </w:r>
      <w:r>
        <w:rPr>
          <w:rFonts w:ascii="宋体" w:cs="宋体" w:eastAsia="宋体" w:hAnsi="宋体"/>
          <w:sz w:val="32"/>
          <w:szCs w:val="32"/>
          <w:color w:val="0C0C0C"/>
        </w:rPr>
        <w:t>增强城市绿化碳汇能力。</w:t>
      </w:r>
      <w:r>
        <w:rPr>
          <w:rFonts w:ascii="宋体" w:cs="宋体" w:eastAsia="宋体" w:hAnsi="宋体"/>
          <w:sz w:val="32"/>
          <w:szCs w:val="32"/>
          <w:color w:val="000000"/>
        </w:rPr>
        <w:t>持续推进城市生态修复，科学复绿、补绿、增绿，修复城市受损山体、水体和废弃地，使城市适宜绿化的地方都绿起来。推进近自然绿地建设，恢复植被群落，重建自然生态。加强科技创新，提高建筑物立体绿化水平，建设生态屋顶、立体花园、绿化墙体等，减少建筑能耗，提高城市绿化覆盖率，改善城市小气候。</w:t>
      </w:r>
    </w:p>
    <w:p>
      <w:pPr>
        <w:spacing w:after="0" w:line="268" w:lineRule="exact"/>
        <w:rPr>
          <w:sz w:val="20"/>
          <w:szCs w:val="20"/>
          <w:color w:val="auto"/>
        </w:rPr>
      </w:pPr>
    </w:p>
    <w:p>
      <w:pPr>
        <w:jc w:val="both"/>
        <w:ind w:left="260" w:right="266" w:firstLine="638"/>
        <w:spacing w:after="0" w:line="530" w:lineRule="exact"/>
        <w:rPr>
          <w:sz w:val="20"/>
          <w:szCs w:val="20"/>
          <w:color w:val="auto"/>
        </w:rPr>
      </w:pPr>
      <w:r>
        <w:rPr>
          <w:rFonts w:ascii="宋体" w:cs="宋体" w:eastAsia="宋体" w:hAnsi="宋体"/>
          <w:sz w:val="32"/>
          <w:szCs w:val="32"/>
          <w:color w:val="auto"/>
        </w:rPr>
        <w:t>加强城市生物多样性保护。持续推进城市生物物种资源普查，推进城市生物资源库建设，加强野生动植物迁地保护，实施生物栖息地生境修复，完善城市生物栖息地网络体系。加强乡土植物种植资源保育繁殖基地（苗圃）建设，提高乡土植物苗木自给率，降低外来入侵物种传播风险。</w:t>
      </w:r>
    </w:p>
    <w:p>
      <w:pPr>
        <w:spacing w:after="0" w:line="275" w:lineRule="exact"/>
        <w:rPr>
          <w:sz w:val="20"/>
          <w:szCs w:val="20"/>
          <w:color w:val="auto"/>
        </w:rPr>
      </w:pPr>
    </w:p>
    <w:p>
      <w:pPr>
        <w:jc w:val="both"/>
        <w:ind w:left="260" w:right="266" w:firstLine="638"/>
        <w:spacing w:after="0" w:line="518" w:lineRule="exact"/>
        <w:rPr>
          <w:sz w:val="20"/>
          <w:szCs w:val="20"/>
          <w:color w:val="auto"/>
        </w:rPr>
      </w:pPr>
      <w:r>
        <w:rPr>
          <w:rFonts w:ascii="宋体" w:cs="宋体" w:eastAsia="宋体" w:hAnsi="宋体"/>
          <w:sz w:val="32"/>
          <w:szCs w:val="32"/>
          <w:color w:val="auto"/>
        </w:rPr>
        <w:t>促进城市蓝绿空间融合。保护城市天然水系和现有绿地生态系统，加强滨水空间绿化，扩展城市周边河湖水系、湿地等自然调蓄空间，形成功能复合、管理协同的城市公共空间，提高城市安全韧性。</w:t>
      </w:r>
    </w:p>
    <w:p>
      <w:pPr>
        <w:sectPr>
          <w:pgSz w:w="11900" w:h="16838" w:orient="portrait"/>
          <w:cols w:equalWidth="0" w:num="1">
            <w:col w:w="9026"/>
          </w:cols>
          <w:pgMar w:left="1440" w:top="1440" w:right="1440" w:bottom="654" w:gutter="0" w:footer="0" w:header="0"/>
        </w:sectPr>
      </w:pPr>
    </w:p>
    <w:p>
      <w:pPr>
        <w:spacing w:after="0" w:line="317"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1"/>
          <w:szCs w:val="21"/>
          <w:color w:val="auto"/>
        </w:rPr>
        <w:t>24</w:t>
      </w:r>
    </w:p>
    <w:p>
      <w:pPr>
        <w:sectPr>
          <w:pgSz w:w="11900" w:h="16838" w:orient="portrait"/>
          <w:cols w:equalWidth="0" w:num="1">
            <w:col w:w="9026"/>
          </w:cols>
          <w:pgMar w:left="1440" w:top="1440" w:right="1440" w:bottom="654" w:gutter="0" w:footer="0" w:header="0"/>
          <w:type w:val="continuous"/>
        </w:sectPr>
      </w:pPr>
    </w:p>
    <w:bookmarkStart w:id="24" w:name="page25"/>
    <w:bookmarkEnd w:id="24"/>
    <w:p>
      <w:pPr>
        <w:spacing w:after="0" w:line="200" w:lineRule="exact"/>
        <w:rPr>
          <w:sz w:val="20"/>
          <w:szCs w:val="20"/>
          <w:color w:val="auto"/>
        </w:rPr>
      </w:pPr>
    </w:p>
    <w:p>
      <w:pPr>
        <w:spacing w:after="0" w:line="255" w:lineRule="exact"/>
        <w:rPr>
          <w:sz w:val="20"/>
          <w:szCs w:val="20"/>
          <w:color w:val="auto"/>
        </w:rPr>
      </w:pPr>
    </w:p>
    <w:p>
      <w:pPr>
        <w:jc w:val="both"/>
        <w:ind w:left="260" w:right="266" w:firstLine="638"/>
        <w:spacing w:after="0" w:line="540" w:lineRule="exact"/>
        <w:rPr>
          <w:sz w:val="20"/>
          <w:szCs w:val="20"/>
          <w:color w:val="auto"/>
        </w:rPr>
      </w:pPr>
      <w:r>
        <w:rPr>
          <w:rFonts w:ascii="宋体" w:cs="宋体" w:eastAsia="宋体" w:hAnsi="宋体"/>
          <w:sz w:val="31"/>
          <w:szCs w:val="31"/>
          <w:color w:val="auto"/>
        </w:rPr>
        <w:t>倡导节约型低碳型园林绿化。保护现有绿地和树木，推广生态绿化方式，提高乡土树种应用比例，适地适树，营造以乔木为骨干，乔灌草合理搭配的复层植物群落，提升绿地固碳效益。园林绿化建设和管理养护过程中要控制碳排放、降低能源损耗，探索低成本养护技术，调整碳平衡。加强技术创新，推广节水型绿化技术，做到资源循环使用、高效利用。</w:t>
      </w:r>
    </w:p>
    <w:p>
      <w:pPr>
        <w:spacing w:after="0" w:line="269" w:lineRule="exact"/>
        <w:rPr>
          <w:sz w:val="20"/>
          <w:szCs w:val="20"/>
          <w:color w:val="auto"/>
        </w:rPr>
      </w:pPr>
    </w:p>
    <w:p>
      <w:pPr>
        <w:jc w:val="both"/>
        <w:ind w:left="260" w:right="106" w:firstLine="638"/>
        <w:spacing w:after="0" w:line="530" w:lineRule="exact"/>
        <w:rPr>
          <w:sz w:val="20"/>
          <w:szCs w:val="20"/>
          <w:color w:val="auto"/>
        </w:rPr>
      </w:pPr>
      <w:r>
        <w:rPr>
          <w:rFonts w:ascii="Arial" w:cs="Arial" w:eastAsia="Arial" w:hAnsi="Arial"/>
          <w:sz w:val="30"/>
          <w:szCs w:val="30"/>
          <w:color w:val="0C0C0C"/>
        </w:rPr>
        <w:t>3.</w:t>
      </w:r>
      <w:r>
        <w:rPr>
          <w:rFonts w:ascii="宋体" w:cs="宋体" w:eastAsia="宋体" w:hAnsi="宋体"/>
          <w:sz w:val="30"/>
          <w:szCs w:val="30"/>
          <w:color w:val="0C0C0C"/>
        </w:rPr>
        <w:t>优化以人民为中心的绿色共享空间。</w:t>
      </w:r>
      <w:r>
        <w:rPr>
          <w:rFonts w:ascii="宋体" w:cs="宋体" w:eastAsia="宋体" w:hAnsi="宋体"/>
          <w:sz w:val="30"/>
          <w:szCs w:val="30"/>
          <w:color w:val="000000"/>
        </w:rPr>
        <w:t>建设友好型公园绿地系统。合理设置多元化、人性化活动空间，完善公园绿地服务设施，加强无障碍设计，突出健身康体、休闲娱乐、科普教育、防灾避险等功能，满足全年龄段城市居民安全使用。创新公园治理模式，加强专业化、精细化管理，实现精准高效服务。</w:t>
      </w:r>
    </w:p>
    <w:p>
      <w:pPr>
        <w:spacing w:after="0" w:line="272" w:lineRule="exact"/>
        <w:rPr>
          <w:sz w:val="20"/>
          <w:szCs w:val="20"/>
          <w:color w:val="auto"/>
        </w:rPr>
      </w:pPr>
    </w:p>
    <w:p>
      <w:pPr>
        <w:ind w:left="260" w:right="106" w:firstLine="638"/>
        <w:spacing w:after="0" w:line="540" w:lineRule="exact"/>
        <w:rPr>
          <w:sz w:val="20"/>
          <w:szCs w:val="20"/>
          <w:color w:val="auto"/>
        </w:rPr>
      </w:pPr>
      <w:r>
        <w:rPr>
          <w:rFonts w:ascii="宋体" w:cs="宋体" w:eastAsia="宋体" w:hAnsi="宋体"/>
          <w:sz w:val="32"/>
          <w:szCs w:val="32"/>
          <w:color w:val="auto"/>
        </w:rPr>
        <w:t>推进社区公园建设。结合十五分钟生活圈建设，以</w:t>
      </w:r>
      <w:r>
        <w:rPr>
          <w:rFonts w:ascii="Arial" w:cs="Arial" w:eastAsia="Arial" w:hAnsi="Arial"/>
          <w:sz w:val="32"/>
          <w:szCs w:val="32"/>
          <w:color w:val="auto"/>
        </w:rPr>
        <w:t>“</w:t>
      </w:r>
      <w:r>
        <w:rPr>
          <w:rFonts w:ascii="宋体" w:cs="宋体" w:eastAsia="宋体" w:hAnsi="宋体"/>
          <w:sz w:val="32"/>
          <w:szCs w:val="32"/>
          <w:color w:val="auto"/>
        </w:rPr>
        <w:t>微更新</w:t>
      </w:r>
      <w:r>
        <w:rPr>
          <w:rFonts w:ascii="Arial" w:cs="Arial" w:eastAsia="Arial" w:hAnsi="Arial"/>
          <w:sz w:val="32"/>
          <w:szCs w:val="32"/>
          <w:color w:val="auto"/>
        </w:rPr>
        <w:t>”</w:t>
      </w:r>
      <w:r>
        <w:rPr>
          <w:rFonts w:ascii="宋体" w:cs="宋体" w:eastAsia="宋体" w:hAnsi="宋体"/>
          <w:sz w:val="32"/>
          <w:szCs w:val="32"/>
          <w:color w:val="auto"/>
        </w:rPr>
        <w:t>方式，有效利用城市中的零碎空地、边角空间等见缝插绿、拆违建绿、留白增绿，因地制宜建设各类社区公园、街头游园、小微绿地、口袋公园，促进邻里交往，增强社区凝聚力。鼓励在距离居住人群较近、健身设施供需矛盾突出的地区，布局建设体育公园。</w:t>
      </w:r>
    </w:p>
    <w:p>
      <w:pPr>
        <w:spacing w:after="0" w:line="267" w:lineRule="exact"/>
        <w:rPr>
          <w:sz w:val="20"/>
          <w:szCs w:val="20"/>
          <w:color w:val="auto"/>
        </w:rPr>
      </w:pPr>
    </w:p>
    <w:p>
      <w:pPr>
        <w:jc w:val="both"/>
        <w:ind w:left="260" w:right="266" w:firstLine="638"/>
        <w:spacing w:after="0" w:line="540" w:lineRule="exact"/>
        <w:rPr>
          <w:sz w:val="20"/>
          <w:szCs w:val="20"/>
          <w:color w:val="auto"/>
        </w:rPr>
      </w:pPr>
      <w:r>
        <w:rPr>
          <w:rFonts w:ascii="宋体" w:cs="宋体" w:eastAsia="宋体" w:hAnsi="宋体"/>
          <w:sz w:val="31"/>
          <w:szCs w:val="31"/>
          <w:color w:val="auto"/>
        </w:rPr>
        <w:t>贯通城乡绿道网络。建设连通区域、城市、社区的城乡绿道体系，串联公园绿地、山体、江海、河湖水系、文化遗产和其他城市公共空间，促进文化保护、乡村旅游和运动健身。结合城市更新和功能完善，提高中心城区、老旧城区的绿道服务半径覆盖率，完善绿道服务设施，合理配备户外健身场地与设施，完善标识系统，根据需求设置服务驿站，提升绿道服务居</w:t>
      </w:r>
    </w:p>
    <w:p>
      <w:pPr>
        <w:sectPr>
          <w:pgSz w:w="11900" w:h="16838" w:orient="portrait"/>
          <w:cols w:equalWidth="0" w:num="1">
            <w:col w:w="9026"/>
          </w:cols>
          <w:pgMar w:left="1440" w:top="1440" w:right="1440" w:bottom="654" w:gutter="0" w:footer="0" w:header="0"/>
        </w:sectPr>
      </w:pPr>
    </w:p>
    <w:p>
      <w:pPr>
        <w:spacing w:after="0" w:line="318"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1"/>
          <w:szCs w:val="21"/>
          <w:color w:val="auto"/>
        </w:rPr>
        <w:t>25</w:t>
      </w:r>
    </w:p>
    <w:p>
      <w:pPr>
        <w:sectPr>
          <w:pgSz w:w="11900" w:h="16838" w:orient="portrait"/>
          <w:cols w:equalWidth="0" w:num="1">
            <w:col w:w="9026"/>
          </w:cols>
          <w:pgMar w:left="1440" w:top="1440" w:right="1440" w:bottom="654" w:gutter="0" w:footer="0" w:header="0"/>
          <w:type w:val="continuous"/>
        </w:sectPr>
      </w:pPr>
    </w:p>
    <w:bookmarkStart w:id="25" w:name="page26"/>
    <w:bookmarkEnd w:id="25"/>
    <w:p>
      <w:pPr>
        <w:spacing w:after="0" w:line="200" w:lineRule="exact"/>
        <w:rPr>
          <w:sz w:val="20"/>
          <w:szCs w:val="20"/>
          <w:color w:val="auto"/>
        </w:rPr>
      </w:pPr>
    </w:p>
    <w:p>
      <w:pPr>
        <w:spacing w:after="0" w:line="207"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民能力。</w:t>
      </w:r>
    </w:p>
    <w:p>
      <w:pPr>
        <w:spacing w:after="0" w:line="269" w:lineRule="exact"/>
        <w:rPr>
          <w:sz w:val="20"/>
          <w:szCs w:val="20"/>
          <w:color w:val="auto"/>
        </w:rPr>
      </w:pPr>
    </w:p>
    <w:p>
      <w:pPr>
        <w:jc w:val="both"/>
        <w:ind w:left="260" w:right="266" w:firstLine="638"/>
        <w:spacing w:after="0" w:line="539" w:lineRule="exact"/>
        <w:rPr>
          <w:sz w:val="20"/>
          <w:szCs w:val="20"/>
          <w:color w:val="auto"/>
        </w:rPr>
      </w:pPr>
      <w:r>
        <w:rPr>
          <w:rFonts w:ascii="宋体" w:cs="宋体" w:eastAsia="宋体" w:hAnsi="宋体"/>
          <w:sz w:val="32"/>
          <w:szCs w:val="32"/>
          <w:color w:val="auto"/>
        </w:rPr>
        <w:t>塑造城市园林绿化特色。突出园林绿化文化内涵，发挥公园文化宣传、科普教育平台作用，开展公园自然课堂、公园文化节等活动，引导社区居民绿色健康生活。持续办好高质量园林博览会，充分利用新理念、新方式、新技术，鼓励通过生态修复、城市更新等方式建设园博园，注重展后可持续利用。传承弘扬中国园林文化。</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93980</wp:posOffset>
            </wp:positionH>
            <wp:positionV relativeFrom="paragraph">
              <wp:posOffset>49530</wp:posOffset>
            </wp:positionV>
            <wp:extent cx="5542915" cy="28219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542915" cy="2821940"/>
                    </a:xfrm>
                    <a:prstGeom prst="rect">
                      <a:avLst/>
                    </a:prstGeom>
                    <a:noFill/>
                  </pic:spPr>
                </pic:pic>
              </a:graphicData>
            </a:graphic>
          </wp:anchor>
        </w:drawing>
      </w:r>
    </w:p>
    <w:p>
      <w:pPr>
        <w:spacing w:after="0" w:line="240" w:lineRule="exact"/>
        <w:rPr>
          <w:sz w:val="20"/>
          <w:szCs w:val="20"/>
          <w:color w:val="auto"/>
        </w:rPr>
      </w:pPr>
    </w:p>
    <w:p>
      <w:pPr>
        <w:jc w:val="center"/>
        <w:ind w:right="6"/>
        <w:spacing w:after="0" w:line="343" w:lineRule="exact"/>
        <w:rPr>
          <w:sz w:val="20"/>
          <w:szCs w:val="20"/>
          <w:color w:val="auto"/>
        </w:rPr>
      </w:pPr>
      <w:r>
        <w:rPr>
          <w:rFonts w:ascii="黑体" w:cs="黑体" w:eastAsia="黑体" w:hAnsi="黑体"/>
          <w:sz w:val="30"/>
          <w:szCs w:val="30"/>
          <w:color w:val="0C0C0C"/>
        </w:rPr>
        <w:t>专栏 5：城市园林绿化提升工程</w:t>
      </w:r>
    </w:p>
    <w:p>
      <w:pPr>
        <w:spacing w:after="0" w:line="215" w:lineRule="exact"/>
        <w:rPr>
          <w:sz w:val="20"/>
          <w:szCs w:val="20"/>
          <w:color w:val="auto"/>
        </w:rPr>
      </w:pPr>
    </w:p>
    <w:p>
      <w:pPr>
        <w:jc w:val="both"/>
        <w:ind w:left="260" w:right="146" w:firstLine="559"/>
        <w:spacing w:after="0" w:line="430" w:lineRule="exact"/>
        <w:rPr>
          <w:sz w:val="20"/>
          <w:szCs w:val="20"/>
          <w:color w:val="auto"/>
        </w:rPr>
      </w:pPr>
      <w:r>
        <w:rPr>
          <w:rFonts w:ascii="Arial" w:cs="Arial" w:eastAsia="Arial" w:hAnsi="Arial"/>
          <w:sz w:val="28"/>
          <w:szCs w:val="28"/>
          <w:color w:val="0C0C0C"/>
        </w:rPr>
        <w:t>1.</w:t>
      </w:r>
      <w:r>
        <w:rPr>
          <w:rFonts w:ascii="宋体" w:cs="宋体" w:eastAsia="宋体" w:hAnsi="宋体"/>
          <w:sz w:val="28"/>
          <w:szCs w:val="28"/>
          <w:color w:val="0C0C0C"/>
        </w:rPr>
        <w:t>城市公园体系完善与品质提升。分级分类健全公园体系，完善公园服务设施，提升公园绿地品质。</w:t>
      </w:r>
      <w:r>
        <w:rPr>
          <w:rFonts w:ascii="Arial" w:cs="Arial" w:eastAsia="Arial" w:hAnsi="Arial"/>
          <w:sz w:val="28"/>
          <w:szCs w:val="28"/>
          <w:color w:val="0C0C0C"/>
        </w:rPr>
        <w:t>“</w:t>
      </w:r>
      <w:r>
        <w:rPr>
          <w:rFonts w:ascii="宋体" w:cs="宋体" w:eastAsia="宋体" w:hAnsi="宋体"/>
          <w:sz w:val="28"/>
          <w:szCs w:val="28"/>
          <w:color w:val="0C0C0C"/>
        </w:rPr>
        <w:t>十四五</w:t>
      </w:r>
      <w:r>
        <w:rPr>
          <w:rFonts w:ascii="Arial" w:cs="Arial" w:eastAsia="Arial" w:hAnsi="Arial"/>
          <w:sz w:val="28"/>
          <w:szCs w:val="28"/>
          <w:color w:val="0C0C0C"/>
        </w:rPr>
        <w:t>”</w:t>
      </w:r>
      <w:r>
        <w:rPr>
          <w:rFonts w:ascii="宋体" w:cs="宋体" w:eastAsia="宋体" w:hAnsi="宋体"/>
          <w:sz w:val="28"/>
          <w:szCs w:val="28"/>
          <w:color w:val="0C0C0C"/>
        </w:rPr>
        <w:t>期间，预计全国新增和改造城市公园绿地面积约</w:t>
      </w:r>
      <w:r>
        <w:rPr>
          <w:rFonts w:ascii="Arial" w:cs="Arial" w:eastAsia="Arial" w:hAnsi="Arial"/>
          <w:sz w:val="28"/>
          <w:szCs w:val="28"/>
          <w:color w:val="0C0C0C"/>
        </w:rPr>
        <w:t xml:space="preserve"> 10 </w:t>
      </w:r>
      <w:r>
        <w:rPr>
          <w:rFonts w:ascii="宋体" w:cs="宋体" w:eastAsia="宋体" w:hAnsi="宋体"/>
          <w:sz w:val="28"/>
          <w:szCs w:val="28"/>
          <w:color w:val="0C0C0C"/>
        </w:rPr>
        <w:t>万公顷，逐步形成覆盖面广、类型多样、特色鲜明、普惠性强的公园体系。</w:t>
      </w:r>
    </w:p>
    <w:p>
      <w:pPr>
        <w:spacing w:after="0" w:line="204" w:lineRule="exact"/>
        <w:rPr>
          <w:sz w:val="20"/>
          <w:szCs w:val="20"/>
          <w:color w:val="auto"/>
        </w:rPr>
      </w:pPr>
    </w:p>
    <w:p>
      <w:pPr>
        <w:jc w:val="both"/>
        <w:ind w:left="260" w:right="266" w:firstLine="559"/>
        <w:spacing w:after="0" w:line="412" w:lineRule="exact"/>
        <w:rPr>
          <w:sz w:val="20"/>
          <w:szCs w:val="20"/>
          <w:color w:val="auto"/>
        </w:rPr>
      </w:pPr>
      <w:r>
        <w:rPr>
          <w:rFonts w:ascii="Arial" w:cs="Arial" w:eastAsia="Arial" w:hAnsi="Arial"/>
          <w:sz w:val="28"/>
          <w:szCs w:val="28"/>
          <w:color w:val="0C0C0C"/>
        </w:rPr>
        <w:t>2.</w:t>
      </w:r>
      <w:r>
        <w:rPr>
          <w:rFonts w:ascii="宋体" w:cs="宋体" w:eastAsia="宋体" w:hAnsi="宋体"/>
          <w:sz w:val="28"/>
          <w:szCs w:val="28"/>
          <w:color w:val="0C0C0C"/>
        </w:rPr>
        <w:t>城乡绿道网络贯通。分级分类建设区域、城市、社区等不同级别，城市型、郊野型等不同类型的城乡绿道。</w:t>
      </w:r>
      <w:r>
        <w:rPr>
          <w:rFonts w:ascii="Arial" w:cs="Arial" w:eastAsia="Arial" w:hAnsi="Arial"/>
          <w:sz w:val="28"/>
          <w:szCs w:val="28"/>
          <w:color w:val="0C0C0C"/>
        </w:rPr>
        <w:t>“</w:t>
      </w:r>
      <w:r>
        <w:rPr>
          <w:rFonts w:ascii="宋体" w:cs="宋体" w:eastAsia="宋体" w:hAnsi="宋体"/>
          <w:sz w:val="28"/>
          <w:szCs w:val="28"/>
          <w:color w:val="0C0C0C"/>
        </w:rPr>
        <w:t>十四五</w:t>
      </w:r>
      <w:r>
        <w:rPr>
          <w:rFonts w:ascii="Arial" w:cs="Arial" w:eastAsia="Arial" w:hAnsi="Arial"/>
          <w:sz w:val="28"/>
          <w:szCs w:val="28"/>
          <w:color w:val="0C0C0C"/>
        </w:rPr>
        <w:t>”</w:t>
      </w:r>
      <w:r>
        <w:rPr>
          <w:rFonts w:ascii="宋体" w:cs="宋体" w:eastAsia="宋体" w:hAnsi="宋体"/>
          <w:sz w:val="28"/>
          <w:szCs w:val="28"/>
          <w:color w:val="0C0C0C"/>
        </w:rPr>
        <w:t>期间，预计全国新增和改造绿道长度约</w:t>
      </w:r>
      <w:r>
        <w:rPr>
          <w:rFonts w:ascii="Arial" w:cs="Arial" w:eastAsia="Arial" w:hAnsi="Arial"/>
          <w:sz w:val="28"/>
          <w:szCs w:val="28"/>
          <w:color w:val="0C0C0C"/>
        </w:rPr>
        <w:t xml:space="preserve"> 2 </w:t>
      </w:r>
      <w:r>
        <w:rPr>
          <w:rFonts w:ascii="宋体" w:cs="宋体" w:eastAsia="宋体" w:hAnsi="宋体"/>
          <w:sz w:val="28"/>
          <w:szCs w:val="28"/>
          <w:color w:val="0C0C0C"/>
        </w:rPr>
        <w:t>万公里。</w:t>
      </w:r>
    </w:p>
    <w:p>
      <w:pPr>
        <w:spacing w:after="0" w:line="145" w:lineRule="exact"/>
        <w:rPr>
          <w:sz w:val="20"/>
          <w:szCs w:val="20"/>
          <w:color w:val="auto"/>
        </w:rPr>
      </w:pPr>
    </w:p>
    <w:p>
      <w:pPr>
        <w:ind w:left="820"/>
        <w:spacing w:after="0" w:line="340" w:lineRule="exact"/>
        <w:rPr>
          <w:sz w:val="20"/>
          <w:szCs w:val="20"/>
          <w:color w:val="auto"/>
        </w:rPr>
      </w:pPr>
      <w:r>
        <w:rPr>
          <w:rFonts w:ascii="Arial" w:cs="Arial" w:eastAsia="Arial" w:hAnsi="Arial"/>
          <w:sz w:val="28"/>
          <w:szCs w:val="28"/>
          <w:color w:val="0C0C0C"/>
        </w:rPr>
        <w:t>3.</w:t>
      </w:r>
      <w:r>
        <w:rPr>
          <w:rFonts w:ascii="宋体" w:cs="宋体" w:eastAsia="宋体" w:hAnsi="宋体"/>
          <w:sz w:val="28"/>
          <w:szCs w:val="28"/>
          <w:color w:val="0C0C0C"/>
        </w:rPr>
        <w:t>建设一批具有示范效应的国家生态园林城市。</w:t>
      </w:r>
    </w:p>
    <w:p>
      <w:pPr>
        <w:spacing w:after="0" w:line="212"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（六）城市基础设施智能化建设行动。</w:t>
      </w:r>
    </w:p>
    <w:p>
      <w:pPr>
        <w:spacing w:after="0" w:line="269" w:lineRule="exact"/>
        <w:rPr>
          <w:sz w:val="20"/>
          <w:szCs w:val="20"/>
          <w:color w:val="auto"/>
        </w:rPr>
      </w:pPr>
    </w:p>
    <w:p>
      <w:pPr>
        <w:ind w:left="260" w:right="106" w:firstLine="638"/>
        <w:spacing w:after="0" w:line="546" w:lineRule="exact"/>
        <w:rPr>
          <w:sz w:val="20"/>
          <w:szCs w:val="20"/>
          <w:color w:val="auto"/>
        </w:rPr>
      </w:pPr>
      <w:r>
        <w:rPr>
          <w:rFonts w:ascii="Arial" w:cs="Arial" w:eastAsia="Arial" w:hAnsi="Arial"/>
          <w:sz w:val="31"/>
          <w:szCs w:val="31"/>
          <w:color w:val="0C0C0C"/>
        </w:rPr>
        <w:t>1.</w:t>
      </w:r>
      <w:r>
        <w:rPr>
          <w:rFonts w:ascii="宋体" w:cs="宋体" w:eastAsia="宋体" w:hAnsi="宋体"/>
          <w:sz w:val="31"/>
          <w:szCs w:val="31"/>
          <w:color w:val="0C0C0C"/>
        </w:rPr>
        <w:t>开展智能化城市基础设施建设和更新改造。</w:t>
      </w:r>
      <w:r>
        <w:rPr>
          <w:rFonts w:ascii="宋体" w:cs="宋体" w:eastAsia="宋体" w:hAnsi="宋体"/>
          <w:sz w:val="31"/>
          <w:szCs w:val="31"/>
          <w:color w:val="000000"/>
        </w:rPr>
        <w:t>开展传统城市基础设施智能化建设和改造。加快推进基于数字化、网络化、智能化的新型城市基础设施建设和改造。因地制宜有序推动建立全面感知、可靠传输、智能处理、精准决策的城市基础设施智能化管理与监管体系。加强智慧水务、园林绿化、燃气热力等专业领域管理监测、养护系统、公众服务系统研发和应用示范，推进各行业规划、设计、施工、管养全生命过程的智慧支</w:t>
      </w:r>
    </w:p>
    <w:p>
      <w:pPr>
        <w:sectPr>
          <w:pgSz w:w="11900" w:h="16838" w:orient="portrait"/>
          <w:cols w:equalWidth="0" w:num="1">
            <w:col w:w="9026"/>
          </w:cols>
          <w:pgMar w:left="1440" w:top="1440" w:right="1440" w:bottom="654" w:gutter="0" w:footer="0" w:header="0"/>
        </w:sectPr>
      </w:pPr>
    </w:p>
    <w:p>
      <w:pPr>
        <w:spacing w:after="0" w:line="200" w:lineRule="exact"/>
        <w:rPr>
          <w:sz w:val="20"/>
          <w:szCs w:val="20"/>
          <w:color w:val="auto"/>
        </w:rPr>
      </w:pPr>
    </w:p>
    <w:p>
      <w:pPr>
        <w:spacing w:after="0" w:line="346"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1"/>
          <w:szCs w:val="21"/>
          <w:color w:val="auto"/>
        </w:rPr>
        <w:t>26</w:t>
      </w:r>
    </w:p>
    <w:p>
      <w:pPr>
        <w:sectPr>
          <w:pgSz w:w="11900" w:h="16838" w:orient="portrait"/>
          <w:cols w:equalWidth="0" w:num="1">
            <w:col w:w="9026"/>
          </w:cols>
          <w:pgMar w:left="1440" w:top="1440" w:right="1440" w:bottom="654" w:gutter="0" w:footer="0" w:header="0"/>
          <w:type w:val="continuous"/>
        </w:sectPr>
      </w:pPr>
    </w:p>
    <w:bookmarkStart w:id="26" w:name="page27"/>
    <w:bookmarkEnd w:id="26"/>
    <w:p>
      <w:pPr>
        <w:spacing w:after="0" w:line="200" w:lineRule="exact"/>
        <w:rPr>
          <w:sz w:val="20"/>
          <w:szCs w:val="20"/>
          <w:color w:val="auto"/>
        </w:rPr>
      </w:pPr>
    </w:p>
    <w:p>
      <w:pPr>
        <w:spacing w:after="0" w:line="255" w:lineRule="exact"/>
        <w:rPr>
          <w:sz w:val="20"/>
          <w:szCs w:val="20"/>
          <w:color w:val="auto"/>
        </w:rPr>
      </w:pPr>
    </w:p>
    <w:p>
      <w:pPr>
        <w:jc w:val="both"/>
        <w:ind w:left="260" w:right="126"/>
        <w:spacing w:after="0" w:line="540" w:lineRule="exact"/>
        <w:rPr>
          <w:sz w:val="20"/>
          <w:szCs w:val="20"/>
          <w:color w:val="auto"/>
        </w:rPr>
      </w:pPr>
      <w:r>
        <w:rPr>
          <w:rFonts w:ascii="宋体" w:cs="宋体" w:eastAsia="宋体" w:hAnsi="宋体"/>
          <w:sz w:val="32"/>
          <w:szCs w:val="32"/>
          <w:color w:val="auto"/>
        </w:rPr>
        <w:t>撑技术体系建设。推动供电服务向</w:t>
      </w:r>
      <w:r>
        <w:rPr>
          <w:rFonts w:ascii="Arial" w:cs="Arial" w:eastAsia="Arial" w:hAnsi="Arial"/>
          <w:sz w:val="32"/>
          <w:szCs w:val="32"/>
          <w:color w:val="auto"/>
        </w:rPr>
        <w:t>“</w:t>
      </w:r>
      <w:r>
        <w:rPr>
          <w:rFonts w:ascii="宋体" w:cs="宋体" w:eastAsia="宋体" w:hAnsi="宋体"/>
          <w:sz w:val="32"/>
          <w:szCs w:val="32"/>
          <w:color w:val="auto"/>
        </w:rPr>
        <w:t>供电</w:t>
      </w:r>
      <w:r>
        <w:rPr>
          <w:rFonts w:ascii="Arial" w:cs="Arial" w:eastAsia="Arial" w:hAnsi="Arial"/>
          <w:sz w:val="32"/>
          <w:szCs w:val="32"/>
          <w:color w:val="auto"/>
        </w:rPr>
        <w:t>+</w:t>
      </w:r>
      <w:r>
        <w:rPr>
          <w:rFonts w:ascii="宋体" w:cs="宋体" w:eastAsia="宋体" w:hAnsi="宋体"/>
          <w:sz w:val="32"/>
          <w:szCs w:val="32"/>
          <w:color w:val="auto"/>
        </w:rPr>
        <w:t>能效服务</w:t>
      </w:r>
      <w:r>
        <w:rPr>
          <w:rFonts w:ascii="Arial" w:cs="Arial" w:eastAsia="Arial" w:hAnsi="Arial"/>
          <w:sz w:val="32"/>
          <w:szCs w:val="32"/>
          <w:color w:val="auto"/>
        </w:rPr>
        <w:t>”</w:t>
      </w:r>
      <w:r>
        <w:rPr>
          <w:rFonts w:ascii="宋体" w:cs="宋体" w:eastAsia="宋体" w:hAnsi="宋体"/>
          <w:sz w:val="32"/>
          <w:szCs w:val="32"/>
          <w:color w:val="auto"/>
        </w:rPr>
        <w:t>延伸拓展，积极拓展综合能源服务、大数据运营等新业务领域，探索能源互联网新业态、新模式。推动智慧地下管线综合运营维护信息化升级，逐步实现地下管线各项运维参数信息的采集、实时监测、自动预警和智能处置。推进城市应急广播体系建设，构建新型城市基础设施智能化建设标准体系。</w:t>
      </w:r>
    </w:p>
    <w:p>
      <w:pPr>
        <w:spacing w:after="0" w:line="268" w:lineRule="exact"/>
        <w:rPr>
          <w:sz w:val="20"/>
          <w:szCs w:val="20"/>
          <w:color w:val="auto"/>
        </w:rPr>
      </w:pPr>
    </w:p>
    <w:p>
      <w:pPr>
        <w:ind w:left="260" w:right="106" w:firstLine="638"/>
        <w:spacing w:after="0" w:line="557" w:lineRule="exact"/>
        <w:rPr>
          <w:sz w:val="20"/>
          <w:szCs w:val="20"/>
          <w:color w:val="auto"/>
        </w:rPr>
      </w:pPr>
      <w:r>
        <w:rPr>
          <w:rFonts w:ascii="宋体" w:cs="宋体" w:eastAsia="宋体" w:hAnsi="宋体"/>
          <w:sz w:val="32"/>
          <w:szCs w:val="32"/>
          <w:color w:val="auto"/>
        </w:rPr>
        <w:t>建设智慧道路交通基础设施系统。分类别、分功能、分阶段、分区域推进泛在先进的智慧道路基础设施建设。加快推进道路交通设施、视频监测设施、环卫设施、照明设施等面向车城协同的路内基础设施数字化、智能化建设和改造，实现道路交通设施的智能互联、数字化采集、管理与应用。建设完善智能停车设施。加强新能源汽车充换电、加气、加氢等设施建设，加快形成快充为主的城市新能源汽车公共充电网络。开展新能源汽车充换电基础设施信息服务，完善充换电、加气、加氢基础设施信息互联互通网络。重点推进城市公交枢纽、公共停车场充电设施设备的规划与建设。</w:t>
      </w:r>
    </w:p>
    <w:p>
      <w:pPr>
        <w:spacing w:after="0" w:line="275" w:lineRule="exact"/>
        <w:rPr>
          <w:sz w:val="20"/>
          <w:szCs w:val="20"/>
          <w:color w:val="auto"/>
        </w:rPr>
      </w:pPr>
    </w:p>
    <w:p>
      <w:pPr>
        <w:ind w:left="260" w:right="106" w:firstLine="638"/>
        <w:spacing w:after="0" w:line="539" w:lineRule="exact"/>
        <w:rPr>
          <w:sz w:val="20"/>
          <w:szCs w:val="20"/>
          <w:color w:val="auto"/>
        </w:rPr>
      </w:pPr>
      <w:r>
        <w:rPr>
          <w:rFonts w:ascii="宋体" w:cs="宋体" w:eastAsia="宋体" w:hAnsi="宋体"/>
          <w:sz w:val="32"/>
          <w:szCs w:val="32"/>
          <w:color w:val="auto"/>
        </w:rPr>
        <w:t>开展智慧多功能灯杆系统建设。依托城市道路照明系统，推进可综合承载多种设备和传感器的城市感知底座建设。促进杆塔资源的共建共享，采用</w:t>
      </w:r>
      <w:r>
        <w:rPr>
          <w:rFonts w:ascii="Arial" w:cs="Arial" w:eastAsia="Arial" w:hAnsi="Arial"/>
          <w:sz w:val="32"/>
          <w:szCs w:val="32"/>
          <w:color w:val="auto"/>
        </w:rPr>
        <w:t>“</w:t>
      </w:r>
      <w:r>
        <w:rPr>
          <w:rFonts w:ascii="宋体" w:cs="宋体" w:eastAsia="宋体" w:hAnsi="宋体"/>
          <w:sz w:val="32"/>
          <w:szCs w:val="32"/>
          <w:color w:val="auto"/>
        </w:rPr>
        <w:t>多杆合一、多牌合一、多管合一、多井合一、多箱合一</w:t>
      </w:r>
      <w:r>
        <w:rPr>
          <w:rFonts w:ascii="Arial" w:cs="Arial" w:eastAsia="Arial" w:hAnsi="Arial"/>
          <w:sz w:val="32"/>
          <w:szCs w:val="32"/>
          <w:color w:val="auto"/>
        </w:rPr>
        <w:t>”</w:t>
      </w:r>
      <w:r>
        <w:rPr>
          <w:rFonts w:ascii="宋体" w:cs="宋体" w:eastAsia="宋体" w:hAnsi="宋体"/>
          <w:sz w:val="32"/>
          <w:szCs w:val="32"/>
          <w:color w:val="auto"/>
        </w:rPr>
        <w:t>的技术手段，对城市道路空间内各类系统的场外设施进行系统性整合，并预留扩展空间和接口。同步加强智慧多功能灯杆信息管理。</w:t>
      </w:r>
    </w:p>
    <w:p>
      <w:pPr>
        <w:spacing w:after="0" w:line="201"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0C0C0C"/>
        </w:rPr>
        <w:t>2.</w:t>
      </w:r>
      <w:r>
        <w:rPr>
          <w:rFonts w:ascii="宋体" w:cs="宋体" w:eastAsia="宋体" w:hAnsi="宋体"/>
          <w:sz w:val="32"/>
          <w:szCs w:val="32"/>
          <w:color w:val="0C0C0C"/>
        </w:rPr>
        <w:t>推进新一代信息通信基础设施建设。</w:t>
      </w:r>
      <w:r>
        <w:rPr>
          <w:rFonts w:ascii="宋体" w:cs="宋体" w:eastAsia="宋体" w:hAnsi="宋体"/>
          <w:sz w:val="32"/>
          <w:szCs w:val="32"/>
          <w:color w:val="000000"/>
        </w:rPr>
        <w:t>稳步推进</w:t>
      </w:r>
      <w:r>
        <w:rPr>
          <w:rFonts w:ascii="Arial" w:cs="Arial" w:eastAsia="Arial" w:hAnsi="Arial"/>
          <w:sz w:val="32"/>
          <w:szCs w:val="32"/>
          <w:color w:val="0C0C0C"/>
        </w:rPr>
        <w:t xml:space="preserve"> </w:t>
      </w:r>
      <w:r>
        <w:rPr>
          <w:rFonts w:ascii="Arial" w:cs="Arial" w:eastAsia="Arial" w:hAnsi="Arial"/>
          <w:sz w:val="32"/>
          <w:szCs w:val="32"/>
          <w:color w:val="000000"/>
        </w:rPr>
        <w:t>5G</w:t>
      </w:r>
      <w:r>
        <w:rPr>
          <w:rFonts w:ascii="Arial" w:cs="Arial" w:eastAsia="Arial" w:hAnsi="Arial"/>
          <w:sz w:val="32"/>
          <w:szCs w:val="32"/>
          <w:color w:val="0C0C0C"/>
        </w:rPr>
        <w:t xml:space="preserve"> </w:t>
      </w:r>
      <w:r>
        <w:rPr>
          <w:rFonts w:ascii="宋体" w:cs="宋体" w:eastAsia="宋体" w:hAnsi="宋体"/>
          <w:sz w:val="32"/>
          <w:szCs w:val="32"/>
          <w:color w:val="000000"/>
        </w:rPr>
        <w:t>网络</w:t>
      </w:r>
    </w:p>
    <w:p>
      <w:pPr>
        <w:sectPr>
          <w:pgSz w:w="11900" w:h="16838" w:orient="portrait"/>
          <w:cols w:equalWidth="0" w:num="1">
            <w:col w:w="9026"/>
          </w:cols>
          <w:pgMar w:left="1440" w:top="1440" w:right="1440" w:bottom="654" w:gutter="0" w:footer="0" w:header="0"/>
        </w:sectPr>
      </w:pPr>
    </w:p>
    <w:p>
      <w:pPr>
        <w:spacing w:after="0" w:line="316"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1"/>
          <w:szCs w:val="21"/>
          <w:color w:val="auto"/>
        </w:rPr>
        <w:t>27</w:t>
      </w:r>
    </w:p>
    <w:p>
      <w:pPr>
        <w:sectPr>
          <w:pgSz w:w="11900" w:h="16838" w:orient="portrait"/>
          <w:cols w:equalWidth="0" w:num="1">
            <w:col w:w="9026"/>
          </w:cols>
          <w:pgMar w:left="1440" w:top="1440" w:right="1440" w:bottom="654" w:gutter="0" w:footer="0" w:header="0"/>
          <w:type w:val="continuous"/>
        </w:sectPr>
      </w:pPr>
    </w:p>
    <w:bookmarkStart w:id="27" w:name="page28"/>
    <w:bookmarkEnd w:id="27"/>
    <w:p>
      <w:pPr>
        <w:spacing w:after="0" w:line="200" w:lineRule="exact"/>
        <w:rPr>
          <w:sz w:val="20"/>
          <w:szCs w:val="20"/>
          <w:color w:val="auto"/>
        </w:rPr>
      </w:pPr>
    </w:p>
    <w:p>
      <w:pPr>
        <w:spacing w:after="0" w:line="255" w:lineRule="exact"/>
        <w:rPr>
          <w:sz w:val="20"/>
          <w:szCs w:val="20"/>
          <w:color w:val="auto"/>
        </w:rPr>
      </w:pPr>
    </w:p>
    <w:p>
      <w:pPr>
        <w:jc w:val="both"/>
        <w:ind w:left="260" w:right="266"/>
        <w:spacing w:after="0" w:line="550" w:lineRule="exact"/>
        <w:rPr>
          <w:sz w:val="20"/>
          <w:szCs w:val="20"/>
          <w:color w:val="auto"/>
        </w:rPr>
      </w:pPr>
      <w:r>
        <w:rPr>
          <w:rFonts w:ascii="宋体" w:cs="宋体" w:eastAsia="宋体" w:hAnsi="宋体"/>
          <w:sz w:val="31"/>
          <w:szCs w:val="31"/>
          <w:color w:val="auto"/>
        </w:rPr>
        <w:t>建设。加强</w:t>
      </w:r>
      <w:r>
        <w:rPr>
          <w:rFonts w:ascii="Arial" w:cs="Arial" w:eastAsia="Arial" w:hAnsi="Arial"/>
          <w:sz w:val="31"/>
          <w:szCs w:val="31"/>
          <w:color w:val="auto"/>
        </w:rPr>
        <w:t xml:space="preserve"> 5G </w:t>
      </w:r>
      <w:r>
        <w:rPr>
          <w:rFonts w:ascii="宋体" w:cs="宋体" w:eastAsia="宋体" w:hAnsi="宋体"/>
          <w:sz w:val="31"/>
          <w:szCs w:val="31"/>
          <w:color w:val="auto"/>
        </w:rPr>
        <w:t>网络规划布局，做好</w:t>
      </w:r>
      <w:r>
        <w:rPr>
          <w:rFonts w:ascii="Arial" w:cs="Arial" w:eastAsia="Arial" w:hAnsi="Arial"/>
          <w:sz w:val="31"/>
          <w:szCs w:val="31"/>
          <w:color w:val="auto"/>
        </w:rPr>
        <w:t xml:space="preserve"> 5G </w:t>
      </w:r>
      <w:r>
        <w:rPr>
          <w:rFonts w:ascii="宋体" w:cs="宋体" w:eastAsia="宋体" w:hAnsi="宋体"/>
          <w:sz w:val="31"/>
          <w:szCs w:val="31"/>
          <w:color w:val="auto"/>
        </w:rPr>
        <w:t>基础设施与市政等基础设施规划衔接，推动建筑物配套建设移动通信、应急通信设施或预留建设空间，加快开放共享电力、交通、市政等基础设施和社会站址资源，支持</w:t>
      </w:r>
      <w:r>
        <w:rPr>
          <w:rFonts w:ascii="Arial" w:cs="Arial" w:eastAsia="Arial" w:hAnsi="Arial"/>
          <w:sz w:val="31"/>
          <w:szCs w:val="31"/>
          <w:color w:val="auto"/>
        </w:rPr>
        <w:t xml:space="preserve"> 5G </w:t>
      </w:r>
      <w:r>
        <w:rPr>
          <w:rFonts w:ascii="宋体" w:cs="宋体" w:eastAsia="宋体" w:hAnsi="宋体"/>
          <w:sz w:val="31"/>
          <w:szCs w:val="31"/>
          <w:color w:val="auto"/>
        </w:rPr>
        <w:t xml:space="preserve">建设。采用高中低频混合组网、宏微结合、室内外协同的方式，加快推进城区连续覆盖，加强商务楼宇、交通枢纽、地下空间等重点地区室内深度覆盖。结合行业应用，做好产业园区、高速公路和高铁沿线等应用场景 </w:t>
      </w:r>
      <w:r>
        <w:rPr>
          <w:rFonts w:ascii="Arial" w:cs="Arial" w:eastAsia="Arial" w:hAnsi="Arial"/>
          <w:sz w:val="31"/>
          <w:szCs w:val="31"/>
          <w:color w:val="auto"/>
        </w:rPr>
        <w:t xml:space="preserve">5G </w:t>
      </w:r>
      <w:r>
        <w:rPr>
          <w:rFonts w:ascii="宋体" w:cs="宋体" w:eastAsia="宋体" w:hAnsi="宋体"/>
          <w:sz w:val="31"/>
          <w:szCs w:val="31"/>
          <w:color w:val="auto"/>
        </w:rPr>
        <w:t>网络覆盖。构建移动物联网网络体系，实现交通路网、城</w:t>
      </w:r>
    </w:p>
    <w:p>
      <w:pPr>
        <w:spacing w:after="0" w:line="276" w:lineRule="exact"/>
        <w:rPr>
          <w:sz w:val="20"/>
          <w:szCs w:val="20"/>
          <w:color w:val="auto"/>
        </w:rPr>
      </w:pPr>
    </w:p>
    <w:p>
      <w:pPr>
        <w:jc w:val="both"/>
        <w:ind w:left="260" w:right="106"/>
        <w:spacing w:after="0" w:line="495" w:lineRule="exact"/>
        <w:rPr>
          <w:sz w:val="20"/>
          <w:szCs w:val="20"/>
          <w:color w:val="auto"/>
        </w:rPr>
      </w:pPr>
      <w:r>
        <w:rPr>
          <w:rFonts w:ascii="宋体" w:cs="宋体" w:eastAsia="宋体" w:hAnsi="宋体"/>
          <w:sz w:val="32"/>
          <w:szCs w:val="32"/>
          <w:color w:val="auto"/>
        </w:rPr>
        <w:t>市管网、工业园区、现代农业示范区等场景移动物联网深度覆盖。统筹推进城市泛在感知基础设施建设，打造支持固移融合、宽窄结合的物联接入能力，提升城市智能感知水平。</w:t>
      </w:r>
    </w:p>
    <w:p>
      <w:pPr>
        <w:spacing w:after="0" w:line="269" w:lineRule="exact"/>
        <w:rPr>
          <w:sz w:val="20"/>
          <w:szCs w:val="20"/>
          <w:color w:val="auto"/>
        </w:rPr>
      </w:pPr>
    </w:p>
    <w:p>
      <w:pPr>
        <w:jc w:val="both"/>
        <w:ind w:left="260" w:right="266" w:firstLine="638"/>
        <w:spacing w:after="0" w:line="546" w:lineRule="exact"/>
        <w:rPr>
          <w:sz w:val="20"/>
          <w:szCs w:val="20"/>
          <w:color w:val="auto"/>
        </w:rPr>
      </w:pPr>
      <w:r>
        <w:rPr>
          <w:rFonts w:ascii="宋体" w:cs="宋体" w:eastAsia="宋体" w:hAnsi="宋体"/>
          <w:sz w:val="31"/>
          <w:szCs w:val="31"/>
          <w:color w:val="auto"/>
        </w:rPr>
        <w:t>加快建设</w:t>
      </w:r>
      <w:r>
        <w:rPr>
          <w:rFonts w:ascii="Arial" w:cs="Arial" w:eastAsia="Arial" w:hAnsi="Arial"/>
          <w:sz w:val="31"/>
          <w:szCs w:val="31"/>
          <w:color w:val="auto"/>
        </w:rPr>
        <w:t>“</w:t>
      </w:r>
      <w:r>
        <w:rPr>
          <w:rFonts w:ascii="宋体" w:cs="宋体" w:eastAsia="宋体" w:hAnsi="宋体"/>
          <w:sz w:val="31"/>
          <w:szCs w:val="31"/>
          <w:color w:val="auto"/>
        </w:rPr>
        <w:t>千兆城市</w:t>
      </w:r>
      <w:r>
        <w:rPr>
          <w:rFonts w:ascii="Arial" w:cs="Arial" w:eastAsia="Arial" w:hAnsi="Arial"/>
          <w:sz w:val="31"/>
          <w:szCs w:val="31"/>
          <w:color w:val="auto"/>
        </w:rPr>
        <w:t>”</w:t>
      </w:r>
      <w:r>
        <w:rPr>
          <w:rFonts w:ascii="宋体" w:cs="宋体" w:eastAsia="宋体" w:hAnsi="宋体"/>
          <w:sz w:val="31"/>
          <w:szCs w:val="31"/>
          <w:color w:val="auto"/>
        </w:rPr>
        <w:t>。严格落实新建住宅、商务楼宇及公共建筑配套建设光纤等通信设施的标准要求，促进城市光纤网络全覆盖。加速光纤网络扩容提速，积极推进光纤接入技术演进，建设高速信息通信网络，全面开展家庭千兆接入和企业万兆接入升级改造，推动实现光纤到桌面、光纤进车间。持续扩展骨干网络承载能力，积极推广部署软件定义、分段路由等技术，加快提升端到端差异化承载和快速服务提供能力。</w:t>
      </w:r>
    </w:p>
    <w:p>
      <w:pPr>
        <w:spacing w:after="0" w:line="268" w:lineRule="exact"/>
        <w:rPr>
          <w:sz w:val="20"/>
          <w:szCs w:val="20"/>
          <w:color w:val="auto"/>
        </w:rPr>
      </w:pPr>
    </w:p>
    <w:p>
      <w:pPr>
        <w:jc w:val="both"/>
        <w:ind w:left="260" w:right="266" w:firstLine="638"/>
        <w:spacing w:after="0" w:line="531" w:lineRule="exact"/>
        <w:rPr>
          <w:sz w:val="20"/>
          <w:szCs w:val="20"/>
          <w:color w:val="auto"/>
        </w:rPr>
      </w:pPr>
      <w:r>
        <w:rPr>
          <w:rFonts w:ascii="宋体" w:cs="宋体" w:eastAsia="宋体" w:hAnsi="宋体"/>
          <w:sz w:val="31"/>
          <w:szCs w:val="31"/>
          <w:color w:val="auto"/>
        </w:rPr>
        <w:t>加快建设智慧广电网络。发展智慧广电网络，打造融媒体中心，建设新型媒体融合传播网、基础资源战略网、应急广播网等。加速有线电视网络改造升级，推动有线网络全程全网和互联互通。建立</w:t>
      </w:r>
      <w:r>
        <w:rPr>
          <w:rFonts w:ascii="Arial" w:cs="Arial" w:eastAsia="Arial" w:hAnsi="Arial"/>
          <w:sz w:val="31"/>
          <w:szCs w:val="31"/>
          <w:color w:val="auto"/>
        </w:rPr>
        <w:t>5G</w:t>
      </w:r>
      <w:r>
        <w:rPr>
          <w:rFonts w:ascii="宋体" w:cs="宋体" w:eastAsia="宋体" w:hAnsi="宋体"/>
          <w:sz w:val="31"/>
          <w:szCs w:val="31"/>
          <w:color w:val="auto"/>
        </w:rPr>
        <w:t>广播电视网络，实现广播电视人人通、终端通、移动通。实现广电网络超高清、云化、互联网协议化、智</w:t>
      </w:r>
    </w:p>
    <w:p>
      <w:pPr>
        <w:sectPr>
          <w:pgSz w:w="11900" w:h="16838" w:orient="portrait"/>
          <w:cols w:equalWidth="0" w:num="1">
            <w:col w:w="9026"/>
          </w:cols>
          <w:pgMar w:left="1440" w:top="1440" w:right="1440" w:bottom="654" w:gutter="0" w:footer="0" w:header="0"/>
        </w:sectPr>
      </w:pPr>
    </w:p>
    <w:p>
      <w:pPr>
        <w:spacing w:after="0" w:line="320"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1"/>
          <w:szCs w:val="21"/>
          <w:color w:val="auto"/>
        </w:rPr>
        <w:t>28</w:t>
      </w:r>
    </w:p>
    <w:p>
      <w:pPr>
        <w:sectPr>
          <w:pgSz w:w="11900" w:h="16838" w:orient="portrait"/>
          <w:cols w:equalWidth="0" w:num="1">
            <w:col w:w="9026"/>
          </w:cols>
          <w:pgMar w:left="1440" w:top="1440" w:right="1440" w:bottom="654" w:gutter="0" w:footer="0" w:header="0"/>
          <w:type w:val="continuous"/>
        </w:sectPr>
      </w:pPr>
    </w:p>
    <w:bookmarkStart w:id="28" w:name="page29"/>
    <w:bookmarkEnd w:id="28"/>
    <w:p>
      <w:pPr>
        <w:spacing w:after="0" w:line="200" w:lineRule="exact"/>
        <w:rPr>
          <w:sz w:val="20"/>
          <w:szCs w:val="20"/>
          <w:color w:val="auto"/>
        </w:rPr>
      </w:pPr>
    </w:p>
    <w:p>
      <w:pPr>
        <w:spacing w:after="0" w:line="255" w:lineRule="exact"/>
        <w:rPr>
          <w:sz w:val="20"/>
          <w:szCs w:val="20"/>
          <w:color w:val="auto"/>
        </w:rPr>
      </w:pPr>
    </w:p>
    <w:p>
      <w:pPr>
        <w:jc w:val="both"/>
        <w:ind w:left="260" w:right="106"/>
        <w:spacing w:after="0" w:line="495" w:lineRule="exact"/>
        <w:rPr>
          <w:sz w:val="20"/>
          <w:szCs w:val="20"/>
          <w:color w:val="auto"/>
        </w:rPr>
      </w:pPr>
      <w:r>
        <w:rPr>
          <w:rFonts w:ascii="宋体" w:cs="宋体" w:eastAsia="宋体" w:hAnsi="宋体"/>
          <w:sz w:val="32"/>
          <w:szCs w:val="32"/>
          <w:color w:val="auto"/>
        </w:rPr>
        <w:t>能化发展。加大社区和家庭信息基础设施建设投入力度，社区、住宅实现广播电视光纤入户，强化广播电视服务覆盖。推进应急广播体系建设。</w:t>
      </w:r>
    </w:p>
    <w:p>
      <w:pPr>
        <w:spacing w:after="0" w:line="269" w:lineRule="exact"/>
        <w:rPr>
          <w:sz w:val="20"/>
          <w:szCs w:val="20"/>
          <w:color w:val="auto"/>
        </w:rPr>
      </w:pPr>
    </w:p>
    <w:p>
      <w:pPr>
        <w:jc w:val="both"/>
        <w:ind w:left="260" w:right="266" w:firstLine="638"/>
        <w:spacing w:after="0" w:line="563" w:lineRule="exact"/>
        <w:rPr>
          <w:sz w:val="20"/>
          <w:szCs w:val="20"/>
          <w:color w:val="auto"/>
        </w:rPr>
      </w:pPr>
      <w:r>
        <w:rPr>
          <w:rFonts w:ascii="Arial" w:cs="Arial" w:eastAsia="Arial" w:hAnsi="Arial"/>
          <w:sz w:val="32"/>
          <w:szCs w:val="32"/>
          <w:color w:val="0C0C0C"/>
        </w:rPr>
        <w:t>3.</w:t>
      </w:r>
      <w:r>
        <w:rPr>
          <w:rFonts w:ascii="宋体" w:cs="宋体" w:eastAsia="宋体" w:hAnsi="宋体"/>
          <w:sz w:val="32"/>
          <w:szCs w:val="32"/>
          <w:color w:val="0C0C0C"/>
        </w:rPr>
        <w:t>开展车城协同综合场景示范应用。</w:t>
      </w:r>
      <w:r>
        <w:rPr>
          <w:rFonts w:ascii="宋体" w:cs="宋体" w:eastAsia="宋体" w:hAnsi="宋体"/>
          <w:sz w:val="32"/>
          <w:szCs w:val="32"/>
          <w:color w:val="000000"/>
        </w:rPr>
        <w:t>推进面向车城协同的道路交通等智能感知设施系统建设，构建基于</w:t>
      </w:r>
      <w:r>
        <w:rPr>
          <w:rFonts w:ascii="Arial" w:cs="Arial" w:eastAsia="Arial" w:hAnsi="Arial"/>
          <w:sz w:val="32"/>
          <w:szCs w:val="32"/>
          <w:color w:val="000000"/>
        </w:rPr>
        <w:t xml:space="preserve"> 5G </w:t>
      </w:r>
      <w:r>
        <w:rPr>
          <w:rFonts w:ascii="宋体" w:cs="宋体" w:eastAsia="宋体" w:hAnsi="宋体"/>
          <w:sz w:val="32"/>
          <w:szCs w:val="32"/>
          <w:color w:val="000000"/>
        </w:rPr>
        <w:t>的车城协同应用场景和产业生态，开展特定区域以</w:t>
      </w:r>
      <w:r>
        <w:rPr>
          <w:rFonts w:ascii="Arial" w:cs="Arial" w:eastAsia="Arial" w:hAnsi="Arial"/>
          <w:sz w:val="32"/>
          <w:szCs w:val="32"/>
          <w:color w:val="000000"/>
        </w:rPr>
        <w:t>“</w:t>
      </w:r>
      <w:r>
        <w:rPr>
          <w:rFonts w:ascii="宋体" w:cs="宋体" w:eastAsia="宋体" w:hAnsi="宋体"/>
          <w:sz w:val="32"/>
          <w:szCs w:val="32"/>
          <w:color w:val="000000"/>
        </w:rPr>
        <w:t>车城协同</w:t>
      </w:r>
      <w:r>
        <w:rPr>
          <w:rFonts w:ascii="Arial" w:cs="Arial" w:eastAsia="Arial" w:hAnsi="Arial"/>
          <w:sz w:val="32"/>
          <w:szCs w:val="32"/>
          <w:color w:val="000000"/>
        </w:rPr>
        <w:t>”</w:t>
      </w:r>
      <w:r>
        <w:rPr>
          <w:rFonts w:ascii="宋体" w:cs="宋体" w:eastAsia="宋体" w:hAnsi="宋体"/>
          <w:sz w:val="32"/>
          <w:szCs w:val="32"/>
          <w:color w:val="000000"/>
        </w:rPr>
        <w:t>为核心的自动驾驶通勤出行、智能物流配送、智能环卫等场景的测试运行及示范应用，验证车</w:t>
      </w:r>
      <w:r>
        <w:rPr>
          <w:rFonts w:ascii="Arial" w:cs="Arial" w:eastAsia="Arial" w:hAnsi="Arial"/>
          <w:sz w:val="32"/>
          <w:szCs w:val="32"/>
          <w:color w:val="000000"/>
        </w:rPr>
        <w:t>—</w:t>
      </w:r>
      <w:r>
        <w:rPr>
          <w:rFonts w:ascii="宋体" w:cs="宋体" w:eastAsia="宋体" w:hAnsi="宋体"/>
          <w:sz w:val="32"/>
          <w:szCs w:val="32"/>
          <w:color w:val="000000"/>
        </w:rPr>
        <w:t>城环境交互感知准确率、智能基础设施定位精度、决策控制合理性、系统容错与故障处理能力、智能基础设施服务能力、</w:t>
      </w:r>
      <w:r>
        <w:rPr>
          <w:rFonts w:ascii="Arial" w:cs="Arial" w:eastAsia="Arial" w:hAnsi="Arial"/>
          <w:sz w:val="32"/>
          <w:szCs w:val="32"/>
          <w:color w:val="000000"/>
        </w:rPr>
        <w:t>“</w:t>
      </w:r>
      <w:r>
        <w:rPr>
          <w:rFonts w:ascii="宋体" w:cs="宋体" w:eastAsia="宋体" w:hAnsi="宋体"/>
          <w:sz w:val="32"/>
          <w:szCs w:val="32"/>
          <w:color w:val="000000"/>
        </w:rPr>
        <w:t>人</w:t>
      </w:r>
      <w:r>
        <w:rPr>
          <w:rFonts w:ascii="Arial" w:cs="Arial" w:eastAsia="Arial" w:hAnsi="Arial"/>
          <w:sz w:val="32"/>
          <w:szCs w:val="32"/>
          <w:color w:val="000000"/>
        </w:rPr>
        <w:t>—</w:t>
      </w:r>
      <w:r>
        <w:rPr>
          <w:rFonts w:ascii="宋体" w:cs="宋体" w:eastAsia="宋体" w:hAnsi="宋体"/>
          <w:sz w:val="32"/>
          <w:szCs w:val="32"/>
          <w:color w:val="000000"/>
        </w:rPr>
        <w:t>车</w:t>
      </w:r>
      <w:r>
        <w:rPr>
          <w:rFonts w:ascii="Arial" w:cs="Arial" w:eastAsia="Arial" w:hAnsi="Arial"/>
          <w:sz w:val="32"/>
          <w:szCs w:val="32"/>
          <w:color w:val="000000"/>
        </w:rPr>
        <w:t>—</w:t>
      </w:r>
      <w:r>
        <w:rPr>
          <w:rFonts w:ascii="宋体" w:cs="宋体" w:eastAsia="宋体" w:hAnsi="宋体"/>
          <w:sz w:val="32"/>
          <w:szCs w:val="32"/>
          <w:color w:val="000000"/>
        </w:rPr>
        <w:t>城（路）</w:t>
      </w:r>
      <w:r>
        <w:rPr>
          <w:rFonts w:ascii="Arial" w:cs="Arial" w:eastAsia="Arial" w:hAnsi="Arial"/>
          <w:sz w:val="32"/>
          <w:szCs w:val="32"/>
          <w:color w:val="000000"/>
        </w:rPr>
        <w:t>—</w:t>
      </w:r>
      <w:r>
        <w:rPr>
          <w:rFonts w:ascii="宋体" w:cs="宋体" w:eastAsia="宋体" w:hAnsi="宋体"/>
          <w:sz w:val="32"/>
          <w:szCs w:val="32"/>
          <w:color w:val="000000"/>
        </w:rPr>
        <w:t>云</w:t>
      </w:r>
      <w:r>
        <w:rPr>
          <w:rFonts w:ascii="Arial" w:cs="Arial" w:eastAsia="Arial" w:hAnsi="Arial"/>
          <w:sz w:val="32"/>
          <w:szCs w:val="32"/>
          <w:color w:val="000000"/>
        </w:rPr>
        <w:t>”</w:t>
      </w:r>
      <w:r>
        <w:rPr>
          <w:rFonts w:ascii="宋体" w:cs="宋体" w:eastAsia="宋体" w:hAnsi="宋体"/>
          <w:sz w:val="32"/>
          <w:szCs w:val="32"/>
          <w:color w:val="000000"/>
        </w:rPr>
        <w:t>系统协同性等。开展基于无人驾驶汽车的无人物流、移动零售、移动办公等新型服务业，满足多样化智能交通运输需求。推动有条件的地区开展城市级智能网联汽车大规模、综合性应用试点，探索重点区域</w:t>
      </w:r>
      <w:r>
        <w:rPr>
          <w:rFonts w:ascii="Arial" w:cs="Arial" w:eastAsia="Arial" w:hAnsi="Arial"/>
          <w:sz w:val="32"/>
          <w:szCs w:val="32"/>
          <w:color w:val="000000"/>
        </w:rPr>
        <w:t>“</w:t>
      </w:r>
      <w:r>
        <w:rPr>
          <w:rFonts w:ascii="宋体" w:cs="宋体" w:eastAsia="宋体" w:hAnsi="宋体"/>
          <w:sz w:val="32"/>
          <w:szCs w:val="32"/>
          <w:color w:val="000000"/>
        </w:rPr>
        <w:t>全息路网</w:t>
      </w:r>
      <w:r>
        <w:rPr>
          <w:rFonts w:ascii="Arial" w:cs="Arial" w:eastAsia="Arial" w:hAnsi="Arial"/>
          <w:sz w:val="32"/>
          <w:szCs w:val="32"/>
          <w:color w:val="000000"/>
        </w:rPr>
        <w:t>”</w:t>
      </w:r>
      <w:r>
        <w:rPr>
          <w:rFonts w:ascii="宋体" w:cs="宋体" w:eastAsia="宋体" w:hAnsi="宋体"/>
          <w:sz w:val="32"/>
          <w:szCs w:val="32"/>
          <w:color w:val="000000"/>
        </w:rPr>
        <w:t>，不断提升城市交通智能化管理水平和居民出行服务体验。建立完善智慧城市基础设施与智能网联汽车技术标准体系。</w:t>
      </w:r>
    </w:p>
    <w:p>
      <w:pPr>
        <w:spacing w:after="0" w:line="208"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0C0C0C"/>
        </w:rPr>
        <w:t>4.</w:t>
      </w:r>
      <w:r>
        <w:rPr>
          <w:rFonts w:ascii="宋体" w:cs="宋体" w:eastAsia="宋体" w:hAnsi="宋体"/>
          <w:sz w:val="32"/>
          <w:szCs w:val="32"/>
          <w:color w:val="0C0C0C"/>
        </w:rPr>
        <w:t>加快推进智慧社区建设。</w:t>
      </w:r>
      <w:r>
        <w:rPr>
          <w:rFonts w:ascii="宋体" w:cs="宋体" w:eastAsia="宋体" w:hAnsi="宋体"/>
          <w:sz w:val="32"/>
          <w:szCs w:val="32"/>
          <w:color w:val="000000"/>
        </w:rPr>
        <w:t>深化新一代信息技术在社区建</w:t>
      </w:r>
    </w:p>
    <w:p>
      <w:pPr>
        <w:spacing w:after="0" w:line="266" w:lineRule="exact"/>
        <w:rPr>
          <w:sz w:val="20"/>
          <w:szCs w:val="20"/>
          <w:color w:val="auto"/>
        </w:rPr>
      </w:pPr>
    </w:p>
    <w:p>
      <w:pPr>
        <w:ind w:left="260" w:right="106"/>
        <w:spacing w:after="0" w:line="539" w:lineRule="exact"/>
        <w:rPr>
          <w:sz w:val="20"/>
          <w:szCs w:val="20"/>
          <w:color w:val="auto"/>
        </w:rPr>
      </w:pPr>
      <w:r>
        <w:rPr>
          <w:rFonts w:ascii="宋体" w:cs="宋体" w:eastAsia="宋体" w:hAnsi="宋体"/>
          <w:sz w:val="30"/>
          <w:szCs w:val="30"/>
          <w:color w:val="auto"/>
        </w:rPr>
        <w:t>设管理中的应用，实现社区智能化管理。提供线上线下融合的社区生活服务、社区治理及公共服务、智能小区等服务。充分利用现有基础建设市级或区级智慧社区基础管理平台，对物业、环境、生活服务和政务服务等相关数据进行有效采集，为智慧社区建设提供数据基础和应用支撑。实施社区公共设施和基础设施数字化、网络化、智能化改造和管理，实现节能减排、</w:t>
      </w:r>
    </w:p>
    <w:p>
      <w:pPr>
        <w:sectPr>
          <w:pgSz w:w="11900" w:h="16838" w:orient="portrait"/>
          <w:cols w:equalWidth="0" w:num="1">
            <w:col w:w="9026"/>
          </w:cols>
          <w:pgMar w:left="1440" w:top="1440" w:right="1440" w:bottom="654" w:gutter="0" w:footer="0" w:header="0"/>
        </w:sectPr>
      </w:pPr>
    </w:p>
    <w:p>
      <w:pPr>
        <w:spacing w:after="0" w:line="320"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1"/>
          <w:szCs w:val="21"/>
          <w:color w:val="auto"/>
        </w:rPr>
        <w:t>29</w:t>
      </w:r>
    </w:p>
    <w:p>
      <w:pPr>
        <w:sectPr>
          <w:pgSz w:w="11900" w:h="16838" w:orient="portrait"/>
          <w:cols w:equalWidth="0" w:num="1">
            <w:col w:w="9026"/>
          </w:cols>
          <w:pgMar w:left="1440" w:top="1440" w:right="1440" w:bottom="654" w:gutter="0" w:footer="0" w:header="0"/>
          <w:type w:val="continuous"/>
        </w:sectPr>
      </w:pPr>
    </w:p>
    <w:bookmarkStart w:id="29" w:name="page30"/>
    <w:bookmarkEnd w:id="29"/>
    <w:p>
      <w:pPr>
        <w:spacing w:after="0" w:line="200" w:lineRule="exact"/>
        <w:rPr>
          <w:sz w:val="20"/>
          <w:szCs w:val="20"/>
          <w:color w:val="auto"/>
        </w:rPr>
      </w:pPr>
    </w:p>
    <w:p>
      <w:pPr>
        <w:spacing w:after="0" w:line="255" w:lineRule="exact"/>
        <w:rPr>
          <w:sz w:val="20"/>
          <w:szCs w:val="20"/>
          <w:color w:val="auto"/>
        </w:rPr>
      </w:pPr>
    </w:p>
    <w:p>
      <w:pPr>
        <w:ind w:left="260" w:right="106"/>
        <w:spacing w:after="0" w:line="531" w:lineRule="exact"/>
        <w:rPr>
          <w:sz w:val="20"/>
          <w:szCs w:val="20"/>
          <w:color w:val="auto"/>
        </w:rPr>
      </w:pPr>
      <w:r>
        <w:rPr>
          <w:rFonts w:ascii="宋体" w:cs="宋体" w:eastAsia="宋体" w:hAnsi="宋体"/>
          <w:sz w:val="32"/>
          <w:szCs w:val="32"/>
          <w:color w:val="auto"/>
        </w:rPr>
        <w:t>智慧供给等高品质要求。推动</w:t>
      </w:r>
      <w:r>
        <w:rPr>
          <w:rFonts w:ascii="Arial" w:cs="Arial" w:eastAsia="Arial" w:hAnsi="Arial"/>
          <w:sz w:val="32"/>
          <w:szCs w:val="32"/>
          <w:color w:val="auto"/>
        </w:rPr>
        <w:t>“</w:t>
      </w:r>
      <w:r>
        <w:rPr>
          <w:rFonts w:ascii="宋体" w:cs="宋体" w:eastAsia="宋体" w:hAnsi="宋体"/>
          <w:sz w:val="32"/>
          <w:szCs w:val="32"/>
          <w:color w:val="auto"/>
        </w:rPr>
        <w:t>互联网＋政务服务</w:t>
      </w:r>
      <w:r>
        <w:rPr>
          <w:rFonts w:ascii="Arial" w:cs="Arial" w:eastAsia="Arial" w:hAnsi="Arial"/>
          <w:sz w:val="32"/>
          <w:szCs w:val="32"/>
          <w:color w:val="auto"/>
        </w:rPr>
        <w:t>”</w:t>
      </w:r>
      <w:r>
        <w:rPr>
          <w:rFonts w:ascii="宋体" w:cs="宋体" w:eastAsia="宋体" w:hAnsi="宋体"/>
          <w:sz w:val="32"/>
          <w:szCs w:val="32"/>
          <w:color w:val="auto"/>
        </w:rPr>
        <w:t>向社区延伸，打通服务群众的</w:t>
      </w:r>
      <w:r>
        <w:rPr>
          <w:rFonts w:ascii="Arial" w:cs="Arial" w:eastAsia="Arial" w:hAnsi="Arial"/>
          <w:sz w:val="32"/>
          <w:szCs w:val="32"/>
          <w:color w:val="auto"/>
        </w:rPr>
        <w:t>“</w:t>
      </w:r>
      <w:r>
        <w:rPr>
          <w:rFonts w:ascii="宋体" w:cs="宋体" w:eastAsia="宋体" w:hAnsi="宋体"/>
          <w:sz w:val="32"/>
          <w:szCs w:val="32"/>
          <w:color w:val="auto"/>
        </w:rPr>
        <w:t>最后一公里</w:t>
      </w:r>
      <w:r>
        <w:rPr>
          <w:rFonts w:ascii="Arial" w:cs="Arial" w:eastAsia="Arial" w:hAnsi="Arial"/>
          <w:sz w:val="32"/>
          <w:szCs w:val="32"/>
          <w:color w:val="auto"/>
        </w:rPr>
        <w:t>”</w:t>
      </w:r>
      <w:r>
        <w:rPr>
          <w:rFonts w:ascii="宋体" w:cs="宋体" w:eastAsia="宋体" w:hAnsi="宋体"/>
          <w:sz w:val="32"/>
          <w:szCs w:val="32"/>
          <w:color w:val="auto"/>
        </w:rPr>
        <w:t>。鼓励社区建设智能停车、智能快递柜、智能充电桩、智能灯杆、智能垃圾箱、智慧安防等配套设施，提升智能化服务水平。开展广播电视服务与智慧社区的融合场景创新应用，推进应急通信保障服务向社区延伸。</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93980</wp:posOffset>
            </wp:positionH>
            <wp:positionV relativeFrom="paragraph">
              <wp:posOffset>48260</wp:posOffset>
            </wp:positionV>
            <wp:extent cx="5542915" cy="47396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542915" cy="4739640"/>
                    </a:xfrm>
                    <a:prstGeom prst="rect">
                      <a:avLst/>
                    </a:prstGeom>
                    <a:noFill/>
                  </pic:spPr>
                </pic:pic>
              </a:graphicData>
            </a:graphic>
          </wp:anchor>
        </w:drawing>
      </w:r>
    </w:p>
    <w:p>
      <w:pPr>
        <w:spacing w:after="0" w:line="237" w:lineRule="exact"/>
        <w:rPr>
          <w:sz w:val="20"/>
          <w:szCs w:val="20"/>
          <w:color w:val="auto"/>
        </w:rPr>
      </w:pPr>
    </w:p>
    <w:p>
      <w:pPr>
        <w:jc w:val="center"/>
        <w:ind w:right="6"/>
        <w:spacing w:after="0" w:line="343" w:lineRule="exact"/>
        <w:rPr>
          <w:sz w:val="20"/>
          <w:szCs w:val="20"/>
          <w:color w:val="auto"/>
        </w:rPr>
      </w:pPr>
      <w:r>
        <w:rPr>
          <w:rFonts w:ascii="黑体" w:cs="黑体" w:eastAsia="黑体" w:hAnsi="黑体"/>
          <w:sz w:val="30"/>
          <w:szCs w:val="30"/>
          <w:color w:val="0C0C0C"/>
        </w:rPr>
        <w:t>专栏 6：城市基础设施智能化建设工程</w:t>
      </w:r>
    </w:p>
    <w:p>
      <w:pPr>
        <w:spacing w:after="0" w:line="223" w:lineRule="exact"/>
        <w:rPr>
          <w:sz w:val="20"/>
          <w:szCs w:val="20"/>
          <w:color w:val="auto"/>
        </w:rPr>
      </w:pPr>
    </w:p>
    <w:p>
      <w:pPr>
        <w:jc w:val="both"/>
        <w:ind w:left="260" w:right="266" w:firstLine="559"/>
        <w:spacing w:after="0" w:line="420" w:lineRule="exact"/>
        <w:rPr>
          <w:sz w:val="20"/>
          <w:szCs w:val="20"/>
          <w:color w:val="auto"/>
        </w:rPr>
      </w:pPr>
      <w:r>
        <w:rPr>
          <w:rFonts w:ascii="Arial" w:cs="Arial" w:eastAsia="Arial" w:hAnsi="Arial"/>
          <w:sz w:val="28"/>
          <w:szCs w:val="28"/>
          <w:color w:val="0C0C0C"/>
        </w:rPr>
        <w:t>1.</w:t>
      </w:r>
      <w:r>
        <w:rPr>
          <w:rFonts w:ascii="宋体" w:cs="宋体" w:eastAsia="宋体" w:hAnsi="宋体"/>
          <w:sz w:val="28"/>
          <w:szCs w:val="28"/>
          <w:color w:val="0C0C0C"/>
        </w:rPr>
        <w:t>智能化城市基础设施建设改造。预计建设智能化道路</w:t>
      </w:r>
      <w:r>
        <w:rPr>
          <w:rFonts w:ascii="Arial" w:cs="Arial" w:eastAsia="Arial" w:hAnsi="Arial"/>
          <w:sz w:val="28"/>
          <w:szCs w:val="28"/>
          <w:color w:val="0C0C0C"/>
        </w:rPr>
        <w:t xml:space="preserve"> 4000 </w:t>
      </w:r>
      <w:r>
        <w:rPr>
          <w:rFonts w:ascii="宋体" w:cs="宋体" w:eastAsia="宋体" w:hAnsi="宋体"/>
          <w:sz w:val="28"/>
          <w:szCs w:val="28"/>
          <w:color w:val="0C0C0C"/>
        </w:rPr>
        <w:t>公里以上，建设智慧多功能灯杆</w:t>
      </w:r>
      <w:r>
        <w:rPr>
          <w:rFonts w:ascii="Arial" w:cs="Arial" w:eastAsia="Arial" w:hAnsi="Arial"/>
          <w:sz w:val="28"/>
          <w:szCs w:val="28"/>
          <w:color w:val="0C0C0C"/>
        </w:rPr>
        <w:t xml:space="preserve"> 13 </w:t>
      </w:r>
      <w:r>
        <w:rPr>
          <w:rFonts w:ascii="宋体" w:cs="宋体" w:eastAsia="宋体" w:hAnsi="宋体"/>
          <w:sz w:val="28"/>
          <w:szCs w:val="28"/>
          <w:color w:val="0C0C0C"/>
        </w:rPr>
        <w:t>万基以上，建设新能源汽车充换电站</w:t>
      </w:r>
      <w:r>
        <w:rPr>
          <w:rFonts w:ascii="Arial" w:cs="Arial" w:eastAsia="Arial" w:hAnsi="Arial"/>
          <w:sz w:val="28"/>
          <w:szCs w:val="28"/>
          <w:color w:val="0C0C0C"/>
        </w:rPr>
        <w:t xml:space="preserve"> 600 </w:t>
      </w:r>
      <w:r>
        <w:rPr>
          <w:rFonts w:ascii="宋体" w:cs="宋体" w:eastAsia="宋体" w:hAnsi="宋体"/>
          <w:sz w:val="28"/>
          <w:szCs w:val="28"/>
          <w:color w:val="0C0C0C"/>
        </w:rPr>
        <w:t>座以上，累计建成公共充电设施</w:t>
      </w:r>
      <w:r>
        <w:rPr>
          <w:rFonts w:ascii="Arial" w:cs="Arial" w:eastAsia="Arial" w:hAnsi="Arial"/>
          <w:sz w:val="28"/>
          <w:szCs w:val="28"/>
          <w:color w:val="0C0C0C"/>
        </w:rPr>
        <w:t xml:space="preserve"> 150 </w:t>
      </w:r>
      <w:r>
        <w:rPr>
          <w:rFonts w:ascii="宋体" w:cs="宋体" w:eastAsia="宋体" w:hAnsi="宋体"/>
          <w:sz w:val="28"/>
          <w:szCs w:val="28"/>
          <w:color w:val="0C0C0C"/>
        </w:rPr>
        <w:t>万个。</w:t>
      </w:r>
    </w:p>
    <w:p>
      <w:pPr>
        <w:spacing w:after="0" w:line="211" w:lineRule="exact"/>
        <w:rPr>
          <w:sz w:val="20"/>
          <w:szCs w:val="20"/>
          <w:color w:val="auto"/>
        </w:rPr>
      </w:pPr>
    </w:p>
    <w:p>
      <w:pPr>
        <w:jc w:val="both"/>
        <w:ind w:left="260" w:right="226" w:firstLine="559"/>
        <w:spacing w:after="0" w:line="455" w:lineRule="exact"/>
        <w:rPr>
          <w:sz w:val="20"/>
          <w:szCs w:val="20"/>
          <w:color w:val="auto"/>
        </w:rPr>
      </w:pPr>
      <w:r>
        <w:rPr>
          <w:rFonts w:ascii="Arial" w:cs="Arial" w:eastAsia="Arial" w:hAnsi="Arial"/>
          <w:sz w:val="28"/>
          <w:szCs w:val="28"/>
          <w:color w:val="0C0C0C"/>
        </w:rPr>
        <w:t>2.</w:t>
      </w:r>
      <w:r>
        <w:rPr>
          <w:rFonts w:ascii="宋体" w:cs="宋体" w:eastAsia="宋体" w:hAnsi="宋体"/>
          <w:sz w:val="28"/>
          <w:szCs w:val="28"/>
          <w:color w:val="0C0C0C"/>
        </w:rPr>
        <w:t>新一代信息通信基础设施体系建设。加快</w:t>
      </w:r>
      <w:r>
        <w:rPr>
          <w:rFonts w:ascii="Arial" w:cs="Arial" w:eastAsia="Arial" w:hAnsi="Arial"/>
          <w:sz w:val="28"/>
          <w:szCs w:val="28"/>
          <w:color w:val="0C0C0C"/>
        </w:rPr>
        <w:t xml:space="preserve"> 5G </w:t>
      </w:r>
      <w:r>
        <w:rPr>
          <w:rFonts w:ascii="宋体" w:cs="宋体" w:eastAsia="宋体" w:hAnsi="宋体"/>
          <w:sz w:val="28"/>
          <w:szCs w:val="28"/>
          <w:color w:val="0C0C0C"/>
        </w:rPr>
        <w:t>网络规模化部署，实现全国县级及以上城市城区</w:t>
      </w:r>
      <w:r>
        <w:rPr>
          <w:rFonts w:ascii="Arial" w:cs="Arial" w:eastAsia="Arial" w:hAnsi="Arial"/>
          <w:sz w:val="28"/>
          <w:szCs w:val="28"/>
          <w:color w:val="0C0C0C"/>
        </w:rPr>
        <w:t xml:space="preserve"> 5G </w:t>
      </w:r>
      <w:r>
        <w:rPr>
          <w:rFonts w:ascii="宋体" w:cs="宋体" w:eastAsia="宋体" w:hAnsi="宋体"/>
          <w:sz w:val="28"/>
          <w:szCs w:val="28"/>
          <w:color w:val="0C0C0C"/>
        </w:rPr>
        <w:t>网络连续覆盖，工业园区、交通枢纽等重点应用场景深度覆盖，基本完成全国县级及以上城市城区千兆光纤网络升级改造。加快广电网络转型升级，基本完成县级及以上城市有线电视网络数字化转型和光纤化、互联网协议化改造，开展城市应急广播体系建设。</w:t>
      </w:r>
    </w:p>
    <w:p>
      <w:pPr>
        <w:spacing w:after="0" w:line="153" w:lineRule="exact"/>
        <w:rPr>
          <w:sz w:val="20"/>
          <w:szCs w:val="20"/>
          <w:color w:val="auto"/>
        </w:rPr>
      </w:pPr>
    </w:p>
    <w:p>
      <w:pPr>
        <w:ind w:left="820"/>
        <w:spacing w:after="0" w:line="340" w:lineRule="exact"/>
        <w:rPr>
          <w:sz w:val="20"/>
          <w:szCs w:val="20"/>
          <w:color w:val="auto"/>
        </w:rPr>
      </w:pPr>
      <w:r>
        <w:rPr>
          <w:rFonts w:ascii="Arial" w:cs="Arial" w:eastAsia="Arial" w:hAnsi="Arial"/>
          <w:sz w:val="28"/>
          <w:szCs w:val="28"/>
          <w:color w:val="0C0C0C"/>
        </w:rPr>
        <w:t>3.</w:t>
      </w:r>
      <w:r>
        <w:rPr>
          <w:rFonts w:ascii="宋体" w:cs="宋体" w:eastAsia="宋体" w:hAnsi="宋体"/>
          <w:sz w:val="28"/>
          <w:szCs w:val="28"/>
          <w:color w:val="0C0C0C"/>
        </w:rPr>
        <w:t>开展以车城协同为核心的综合场景应用示范工程建设。支持自</w:t>
      </w:r>
    </w:p>
    <w:p>
      <w:pPr>
        <w:spacing w:after="0" w:line="170" w:lineRule="exact"/>
        <w:rPr>
          <w:sz w:val="20"/>
          <w:szCs w:val="20"/>
          <w:color w:val="auto"/>
        </w:rPr>
      </w:pPr>
    </w:p>
    <w:p>
      <w:pPr>
        <w:ind w:left="260"/>
        <w:spacing w:after="0" w:line="320" w:lineRule="exact"/>
        <w:rPr>
          <w:sz w:val="20"/>
          <w:szCs w:val="20"/>
          <w:color w:val="auto"/>
        </w:rPr>
      </w:pPr>
      <w:r>
        <w:rPr>
          <w:rFonts w:ascii="宋体" w:cs="宋体" w:eastAsia="宋体" w:hAnsi="宋体"/>
          <w:sz w:val="28"/>
          <w:szCs w:val="28"/>
          <w:color w:val="0C0C0C"/>
        </w:rPr>
        <w:t>动驾驶综合场景示范区建设，构建支持自动驾驶的车城协同环境，在</w:t>
      </w:r>
    </w:p>
    <w:p>
      <w:pPr>
        <w:spacing w:after="0" w:line="170" w:lineRule="exact"/>
        <w:rPr>
          <w:sz w:val="20"/>
          <w:szCs w:val="20"/>
          <w:color w:val="auto"/>
        </w:rPr>
      </w:pPr>
    </w:p>
    <w:p>
      <w:pPr>
        <w:ind w:left="260"/>
        <w:spacing w:after="0" w:line="320" w:lineRule="exact"/>
        <w:rPr>
          <w:sz w:val="20"/>
          <w:szCs w:val="20"/>
          <w:color w:val="auto"/>
        </w:rPr>
      </w:pPr>
      <w:r>
        <w:rPr>
          <w:rFonts w:ascii="宋体" w:cs="宋体" w:eastAsia="宋体" w:hAnsi="宋体"/>
          <w:sz w:val="28"/>
          <w:szCs w:val="28"/>
          <w:color w:val="0C0C0C"/>
        </w:rPr>
        <w:t>物流、环卫等领域探索使用智能汽车替代传统车辆进行作业，探索智</w:t>
      </w:r>
    </w:p>
    <w:p>
      <w:pPr>
        <w:spacing w:after="0" w:line="170" w:lineRule="exact"/>
        <w:rPr>
          <w:sz w:val="20"/>
          <w:szCs w:val="20"/>
          <w:color w:val="auto"/>
        </w:rPr>
      </w:pPr>
    </w:p>
    <w:p>
      <w:pPr>
        <w:ind w:left="260"/>
        <w:spacing w:after="0" w:line="320" w:lineRule="exact"/>
        <w:rPr>
          <w:sz w:val="20"/>
          <w:szCs w:val="20"/>
          <w:color w:val="auto"/>
        </w:rPr>
      </w:pPr>
      <w:r>
        <w:rPr>
          <w:rFonts w:ascii="宋体" w:cs="宋体" w:eastAsia="宋体" w:hAnsi="宋体"/>
          <w:sz w:val="28"/>
          <w:szCs w:val="28"/>
          <w:color w:val="0C0C0C"/>
        </w:rPr>
        <w:t>能网联汽车与智慧交通、智慧城市系统的深度融合路径。支持国家级</w:t>
      </w:r>
    </w:p>
    <w:p>
      <w:pPr>
        <w:spacing w:after="0" w:line="182" w:lineRule="exact"/>
        <w:rPr>
          <w:sz w:val="20"/>
          <w:szCs w:val="20"/>
          <w:color w:val="auto"/>
        </w:rPr>
      </w:pPr>
    </w:p>
    <w:p>
      <w:pPr>
        <w:ind w:left="260"/>
        <w:spacing w:after="0" w:line="308" w:lineRule="exact"/>
        <w:rPr>
          <w:sz w:val="20"/>
          <w:szCs w:val="20"/>
          <w:color w:val="auto"/>
        </w:rPr>
      </w:pPr>
      <w:r>
        <w:rPr>
          <w:rFonts w:ascii="宋体" w:cs="宋体" w:eastAsia="宋体" w:hAnsi="宋体"/>
          <w:sz w:val="27"/>
          <w:szCs w:val="27"/>
          <w:color w:val="0C0C0C"/>
        </w:rPr>
        <w:t>车联网先导区建设，逐步扩大示范区域，形成可复制、可推广的模式。</w:t>
      </w:r>
    </w:p>
    <w:p>
      <w:pPr>
        <w:spacing w:after="0" w:line="217"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（七）城市居住区市政配套基础设施补短板行动。</w:t>
      </w:r>
    </w:p>
    <w:p>
      <w:pPr>
        <w:spacing w:after="0" w:line="266" w:lineRule="exact"/>
        <w:rPr>
          <w:sz w:val="20"/>
          <w:szCs w:val="20"/>
          <w:color w:val="auto"/>
        </w:rPr>
      </w:pPr>
    </w:p>
    <w:p>
      <w:pPr>
        <w:jc w:val="both"/>
        <w:ind w:left="260" w:right="266" w:firstLine="638"/>
        <w:spacing w:after="0" w:line="517" w:lineRule="exact"/>
        <w:rPr>
          <w:sz w:val="20"/>
          <w:szCs w:val="20"/>
          <w:color w:val="auto"/>
        </w:rPr>
      </w:pPr>
      <w:r>
        <w:rPr>
          <w:rFonts w:ascii="Arial" w:cs="Arial" w:eastAsia="Arial" w:hAnsi="Arial"/>
          <w:sz w:val="31"/>
          <w:szCs w:val="31"/>
          <w:color w:val="0C0C0C"/>
        </w:rPr>
        <w:t>1.</w:t>
      </w:r>
      <w:r>
        <w:rPr>
          <w:rFonts w:ascii="宋体" w:cs="宋体" w:eastAsia="宋体" w:hAnsi="宋体"/>
          <w:sz w:val="31"/>
          <w:szCs w:val="31"/>
          <w:color w:val="0C0C0C"/>
        </w:rPr>
        <w:t>实施居住区水电气热信路等设施更新改造。</w:t>
      </w:r>
      <w:r>
        <w:rPr>
          <w:rFonts w:ascii="宋体" w:cs="宋体" w:eastAsia="宋体" w:hAnsi="宋体"/>
          <w:sz w:val="31"/>
          <w:szCs w:val="31"/>
          <w:color w:val="000000"/>
        </w:rPr>
        <w:t>实施居住区、历史文化街区等排水防涝设施建设、雨污水管网混错接改造。灵活选取微地型、屋顶绿化等措施，建设可渗透路面、绿地及雨水收集利用设施，利用腾退土地、公共空间增加绿地等</w:t>
      </w:r>
    </w:p>
    <w:p>
      <w:pPr>
        <w:sectPr>
          <w:pgSz w:w="11900" w:h="16838" w:orient="portrait"/>
          <w:cols w:equalWidth="0" w:num="1">
            <w:col w:w="9026"/>
          </w:cols>
          <w:pgMar w:left="1440" w:top="1440" w:right="1440" w:bottom="654" w:gutter="0" w:footer="0" w:header="0"/>
        </w:sectPr>
      </w:pPr>
    </w:p>
    <w:p>
      <w:pPr>
        <w:spacing w:after="0" w:line="200" w:lineRule="exact"/>
        <w:rPr>
          <w:sz w:val="20"/>
          <w:szCs w:val="20"/>
          <w:color w:val="auto"/>
        </w:rPr>
      </w:pPr>
    </w:p>
    <w:p>
      <w:pPr>
        <w:spacing w:after="0" w:line="250"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1"/>
          <w:szCs w:val="21"/>
          <w:color w:val="auto"/>
        </w:rPr>
        <w:t>30</w:t>
      </w:r>
    </w:p>
    <w:p>
      <w:pPr>
        <w:sectPr>
          <w:pgSz w:w="11900" w:h="16838" w:orient="portrait"/>
          <w:cols w:equalWidth="0" w:num="1">
            <w:col w:w="9026"/>
          </w:cols>
          <w:pgMar w:left="1440" w:top="1440" w:right="1440" w:bottom="654" w:gutter="0" w:footer="0" w:header="0"/>
          <w:type w:val="continuous"/>
        </w:sectPr>
      </w:pPr>
    </w:p>
    <w:bookmarkStart w:id="30" w:name="page31"/>
    <w:bookmarkEnd w:id="30"/>
    <w:p>
      <w:pPr>
        <w:spacing w:after="0" w:line="200" w:lineRule="exact"/>
        <w:rPr>
          <w:sz w:val="20"/>
          <w:szCs w:val="20"/>
          <w:color w:val="auto"/>
        </w:rPr>
      </w:pPr>
    </w:p>
    <w:p>
      <w:pPr>
        <w:spacing w:after="0" w:line="255" w:lineRule="exact"/>
        <w:rPr>
          <w:sz w:val="20"/>
          <w:szCs w:val="20"/>
          <w:color w:val="auto"/>
        </w:rPr>
      </w:pPr>
    </w:p>
    <w:p>
      <w:pPr>
        <w:jc w:val="both"/>
        <w:ind w:left="260" w:right="266"/>
        <w:spacing w:after="0" w:line="550" w:lineRule="exact"/>
        <w:rPr>
          <w:sz w:val="20"/>
          <w:szCs w:val="20"/>
          <w:color w:val="auto"/>
        </w:rPr>
      </w:pPr>
      <w:r>
        <w:rPr>
          <w:rFonts w:ascii="宋体" w:cs="宋体" w:eastAsia="宋体" w:hAnsi="宋体"/>
          <w:sz w:val="31"/>
          <w:szCs w:val="31"/>
          <w:color w:val="auto"/>
        </w:rPr>
        <w:t>软性透水地面，推进海绵化改造。对破损严重、材质落后的供水管道和不符合技术、卫生和安全防范要求的加压调蓄供水设施、消防设施、应急设施等进行更新改造。对管线混杂、供电能力不足的电力基础设施进行改造。对达到使用年限、存在跑冒滴漏等安全隐患的燃气、供热管网实施维修改造。推进相邻居住区及周边地区统筹建设、联动改造，推动各类配套设施和公共活动空间共建共享。统筹考虑社区应急避难场所和疏散通道建设，确保符合应急防灾安全管控相关要求。</w:t>
      </w:r>
    </w:p>
    <w:p>
      <w:pPr>
        <w:spacing w:after="0" w:line="276" w:lineRule="exact"/>
        <w:rPr>
          <w:sz w:val="20"/>
          <w:szCs w:val="20"/>
          <w:color w:val="auto"/>
        </w:rPr>
      </w:pPr>
    </w:p>
    <w:p>
      <w:pPr>
        <w:ind w:left="260" w:right="106" w:firstLine="638"/>
        <w:spacing w:after="0" w:line="540" w:lineRule="exact"/>
        <w:rPr>
          <w:sz w:val="20"/>
          <w:szCs w:val="20"/>
          <w:color w:val="auto"/>
        </w:rPr>
      </w:pPr>
      <w:r>
        <w:rPr>
          <w:rFonts w:ascii="Arial" w:cs="Arial" w:eastAsia="Arial" w:hAnsi="Arial"/>
          <w:sz w:val="32"/>
          <w:szCs w:val="32"/>
          <w:color w:val="0C0C0C"/>
        </w:rPr>
        <w:t>2.</w:t>
      </w:r>
      <w:r>
        <w:rPr>
          <w:rFonts w:ascii="宋体" w:cs="宋体" w:eastAsia="宋体" w:hAnsi="宋体"/>
          <w:sz w:val="32"/>
          <w:szCs w:val="32"/>
          <w:color w:val="0C0C0C"/>
        </w:rPr>
        <w:t>推进无障碍环境建设。</w:t>
      </w:r>
      <w:r>
        <w:rPr>
          <w:rFonts w:ascii="宋体" w:cs="宋体" w:eastAsia="宋体" w:hAnsi="宋体"/>
          <w:sz w:val="32"/>
          <w:szCs w:val="32"/>
          <w:color w:val="000000"/>
        </w:rPr>
        <w:t>住宅和公共建筑出入口设置轮椅坡道和扶手，公共活动场地、道路等户外环境建设达到无障碍设计要求。具备条件的居住区，实施加装电梯等适老化改造。对有条件的服务设施，设置低位服务柜台、信息屏幕显示系统、盲文或有声提示标识和无障碍厕所（厕位）。持续开展无障碍环境创建工作。</w:t>
      </w:r>
    </w:p>
    <w:p>
      <w:pPr>
        <w:spacing w:after="0" w:line="197"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0C0C0C"/>
        </w:rPr>
        <w:t>3.</w:t>
      </w:r>
      <w:r>
        <w:rPr>
          <w:rFonts w:ascii="宋体" w:cs="宋体" w:eastAsia="宋体" w:hAnsi="宋体"/>
          <w:sz w:val="32"/>
          <w:szCs w:val="32"/>
          <w:color w:val="0C0C0C"/>
        </w:rPr>
        <w:t>完善居住区环卫设施。</w:t>
      </w:r>
      <w:r>
        <w:rPr>
          <w:rFonts w:ascii="宋体" w:cs="宋体" w:eastAsia="宋体" w:hAnsi="宋体"/>
          <w:sz w:val="32"/>
          <w:szCs w:val="32"/>
          <w:color w:val="000000"/>
        </w:rPr>
        <w:t>完善居住区垃圾分类配套设施。</w:t>
      </w:r>
    </w:p>
    <w:p>
      <w:pPr>
        <w:spacing w:after="0" w:line="218"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在小区出入口附近或开敞地带等合理设置垃圾箱房、垃圾桶站</w:t>
      </w:r>
    </w:p>
    <w:p>
      <w:pPr>
        <w:spacing w:after="0" w:line="221"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等生活垃圾分类收集站点，方便机械化收运和作业。优先改造</w:t>
      </w:r>
    </w:p>
    <w:p>
      <w:pPr>
        <w:spacing w:after="0" w:line="218"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利用原有收集点，有条件的可设在架空层等公共空间内。确保</w:t>
      </w:r>
    </w:p>
    <w:p>
      <w:pPr>
        <w:spacing w:after="0" w:line="218"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生活垃圾分类收集容器功能完善、干净无味、标识清晰规范。</w:t>
      </w:r>
    </w:p>
    <w:p>
      <w:pPr>
        <w:spacing w:after="0" w:line="269" w:lineRule="exact"/>
        <w:rPr>
          <w:sz w:val="20"/>
          <w:szCs w:val="20"/>
          <w:color w:val="auto"/>
        </w:rPr>
      </w:pPr>
    </w:p>
    <w:p>
      <w:pPr>
        <w:jc w:val="both"/>
        <w:ind w:left="260" w:right="266" w:firstLine="638"/>
        <w:spacing w:after="0" w:line="517" w:lineRule="exact"/>
        <w:rPr>
          <w:sz w:val="20"/>
          <w:szCs w:val="20"/>
          <w:color w:val="auto"/>
        </w:rPr>
      </w:pPr>
      <w:r>
        <w:rPr>
          <w:rFonts w:ascii="Arial" w:cs="Arial" w:eastAsia="Arial" w:hAnsi="Arial"/>
          <w:sz w:val="31"/>
          <w:szCs w:val="31"/>
          <w:color w:val="0C0C0C"/>
        </w:rPr>
        <w:t>4.</w:t>
      </w:r>
      <w:r>
        <w:rPr>
          <w:rFonts w:ascii="宋体" w:cs="宋体" w:eastAsia="宋体" w:hAnsi="宋体"/>
          <w:sz w:val="31"/>
          <w:szCs w:val="31"/>
          <w:color w:val="0C0C0C"/>
        </w:rPr>
        <w:t>优化</w:t>
      </w:r>
      <w:r>
        <w:rPr>
          <w:rFonts w:ascii="Arial" w:cs="Arial" w:eastAsia="Arial" w:hAnsi="Arial"/>
          <w:sz w:val="31"/>
          <w:szCs w:val="31"/>
          <w:color w:val="0C0C0C"/>
        </w:rPr>
        <w:t>“</w:t>
      </w:r>
      <w:r>
        <w:rPr>
          <w:rFonts w:ascii="宋体" w:cs="宋体" w:eastAsia="宋体" w:hAnsi="宋体"/>
          <w:sz w:val="31"/>
          <w:szCs w:val="31"/>
          <w:color w:val="0C0C0C"/>
        </w:rPr>
        <w:t>十五分钟生活圈</w:t>
      </w:r>
      <w:r>
        <w:rPr>
          <w:rFonts w:ascii="Arial" w:cs="Arial" w:eastAsia="Arial" w:hAnsi="Arial"/>
          <w:sz w:val="31"/>
          <w:szCs w:val="31"/>
          <w:color w:val="0C0C0C"/>
        </w:rPr>
        <w:t>”</w:t>
      </w:r>
      <w:r>
        <w:rPr>
          <w:rFonts w:ascii="宋体" w:cs="宋体" w:eastAsia="宋体" w:hAnsi="宋体"/>
          <w:sz w:val="31"/>
          <w:szCs w:val="31"/>
          <w:color w:val="0C0C0C"/>
        </w:rPr>
        <w:t>公共空间。</w:t>
      </w:r>
      <w:r>
        <w:rPr>
          <w:rFonts w:ascii="宋体" w:cs="宋体" w:eastAsia="宋体" w:hAnsi="宋体"/>
          <w:sz w:val="31"/>
          <w:szCs w:val="31"/>
          <w:color w:val="000000"/>
        </w:rPr>
        <w:t>建设全龄友好的完整社区。统筹配置社区公园、多功能运动场，结合边角地、废弃地、闲置地等改造建设小微绿地、口袋公园，完善公共游憩设施，确保在紧急情况下可转换为应急避难场所。建设联贯各</w:t>
      </w:r>
    </w:p>
    <w:p>
      <w:pPr>
        <w:sectPr>
          <w:pgSz w:w="11900" w:h="16838" w:orient="portrait"/>
          <w:cols w:equalWidth="0" w:num="1">
            <w:col w:w="9026"/>
          </w:cols>
          <w:pgMar w:left="1440" w:top="1440" w:right="1440" w:bottom="654" w:gutter="0" w:footer="0" w:header="0"/>
        </w:sectPr>
      </w:pPr>
    </w:p>
    <w:p>
      <w:pPr>
        <w:spacing w:after="0" w:line="320"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1"/>
          <w:szCs w:val="21"/>
          <w:color w:val="auto"/>
        </w:rPr>
        <w:t>31</w:t>
      </w:r>
    </w:p>
    <w:p>
      <w:pPr>
        <w:sectPr>
          <w:pgSz w:w="11900" w:h="16838" w:orient="portrait"/>
          <w:cols w:equalWidth="0" w:num="1">
            <w:col w:w="9026"/>
          </w:cols>
          <w:pgMar w:left="1440" w:top="1440" w:right="1440" w:bottom="654" w:gutter="0" w:footer="0" w:header="0"/>
          <w:type w:val="continuous"/>
        </w:sectPr>
      </w:pPr>
    </w:p>
    <w:bookmarkStart w:id="31" w:name="page32"/>
    <w:bookmarkEnd w:id="31"/>
    <w:p>
      <w:pPr>
        <w:spacing w:after="0" w:line="200" w:lineRule="exact"/>
        <w:rPr>
          <w:sz w:val="20"/>
          <w:szCs w:val="20"/>
          <w:color w:val="auto"/>
        </w:rPr>
      </w:pPr>
    </w:p>
    <w:p>
      <w:pPr>
        <w:spacing w:after="0" w:line="255" w:lineRule="exact"/>
        <w:rPr>
          <w:sz w:val="20"/>
          <w:szCs w:val="20"/>
          <w:color w:val="auto"/>
        </w:rPr>
      </w:pPr>
    </w:p>
    <w:p>
      <w:pPr>
        <w:jc w:val="both"/>
        <w:ind w:left="260" w:right="266"/>
        <w:spacing w:after="0" w:line="495" w:lineRule="exact"/>
        <w:rPr>
          <w:sz w:val="20"/>
          <w:szCs w:val="20"/>
          <w:color w:val="auto"/>
        </w:rPr>
      </w:pPr>
      <w:r>
        <w:rPr>
          <w:rFonts w:ascii="宋体" w:cs="宋体" w:eastAsia="宋体" w:hAnsi="宋体"/>
          <w:sz w:val="32"/>
          <w:szCs w:val="32"/>
          <w:color w:val="auto"/>
        </w:rPr>
        <w:t>类配套设施、公共活动空间与住宅的社区慢行系统，因地制宜选择道路铺装，完善夜间照明。结合全民健身，合理设置社区绿道。</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93980</wp:posOffset>
            </wp:positionH>
            <wp:positionV relativeFrom="paragraph">
              <wp:posOffset>47625</wp:posOffset>
            </wp:positionV>
            <wp:extent cx="5543550" cy="1653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543550" cy="1653540"/>
                    </a:xfrm>
                    <a:prstGeom prst="rect">
                      <a:avLst/>
                    </a:prstGeom>
                    <a:noFill/>
                  </pic:spPr>
                </pic:pic>
              </a:graphicData>
            </a:graphic>
          </wp:anchor>
        </w:drawing>
      </w:r>
    </w:p>
    <w:p>
      <w:pPr>
        <w:spacing w:after="0" w:line="235" w:lineRule="exact"/>
        <w:rPr>
          <w:sz w:val="20"/>
          <w:szCs w:val="20"/>
          <w:color w:val="auto"/>
        </w:rPr>
      </w:pPr>
    </w:p>
    <w:p>
      <w:pPr>
        <w:jc w:val="center"/>
        <w:ind w:right="6"/>
        <w:spacing w:after="0" w:line="343" w:lineRule="exact"/>
        <w:rPr>
          <w:sz w:val="20"/>
          <w:szCs w:val="20"/>
          <w:color w:val="auto"/>
        </w:rPr>
      </w:pPr>
      <w:r>
        <w:rPr>
          <w:rFonts w:ascii="黑体" w:cs="黑体" w:eastAsia="黑体" w:hAnsi="黑体"/>
          <w:sz w:val="30"/>
          <w:szCs w:val="30"/>
          <w:color w:val="0C0C0C"/>
        </w:rPr>
        <w:t>专栏 7：城市居住区市政配套基础设施补短板工程</w:t>
      </w:r>
    </w:p>
    <w:p>
      <w:pPr>
        <w:spacing w:after="0" w:line="171" w:lineRule="exact"/>
        <w:rPr>
          <w:sz w:val="20"/>
          <w:szCs w:val="20"/>
          <w:color w:val="auto"/>
        </w:rPr>
      </w:pPr>
    </w:p>
    <w:p>
      <w:pPr>
        <w:ind w:left="740"/>
        <w:spacing w:after="0" w:line="340" w:lineRule="exact"/>
        <w:rPr>
          <w:sz w:val="20"/>
          <w:szCs w:val="20"/>
          <w:color w:val="auto"/>
        </w:rPr>
      </w:pPr>
      <w:r>
        <w:rPr>
          <w:rFonts w:ascii="Arial" w:cs="Arial" w:eastAsia="Arial" w:hAnsi="Arial"/>
          <w:sz w:val="28"/>
          <w:szCs w:val="28"/>
          <w:color w:val="0C0C0C"/>
        </w:rPr>
        <w:t>“</w:t>
      </w:r>
      <w:r>
        <w:rPr>
          <w:rFonts w:ascii="宋体" w:cs="宋体" w:eastAsia="宋体" w:hAnsi="宋体"/>
          <w:sz w:val="28"/>
          <w:szCs w:val="28"/>
          <w:color w:val="0C0C0C"/>
        </w:rPr>
        <w:t>十四五</w:t>
      </w:r>
      <w:r>
        <w:rPr>
          <w:rFonts w:ascii="Arial" w:cs="Arial" w:eastAsia="Arial" w:hAnsi="Arial"/>
          <w:sz w:val="28"/>
          <w:szCs w:val="28"/>
          <w:color w:val="0C0C0C"/>
        </w:rPr>
        <w:t>”</w:t>
      </w:r>
      <w:r>
        <w:rPr>
          <w:rFonts w:ascii="宋体" w:cs="宋体" w:eastAsia="宋体" w:hAnsi="宋体"/>
          <w:sz w:val="28"/>
          <w:szCs w:val="28"/>
          <w:color w:val="0C0C0C"/>
        </w:rPr>
        <w:t>期间，加大力度改造城市建成年代较早、失养失修失管、</w:t>
      </w:r>
    </w:p>
    <w:p>
      <w:pPr>
        <w:spacing w:after="0" w:line="221" w:lineRule="exact"/>
        <w:rPr>
          <w:sz w:val="20"/>
          <w:szCs w:val="20"/>
          <w:color w:val="auto"/>
        </w:rPr>
      </w:pPr>
    </w:p>
    <w:p>
      <w:pPr>
        <w:jc w:val="both"/>
        <w:ind w:left="260" w:right="266"/>
        <w:spacing w:after="0" w:line="426" w:lineRule="exact"/>
        <w:rPr>
          <w:sz w:val="20"/>
          <w:szCs w:val="20"/>
          <w:color w:val="auto"/>
        </w:rPr>
      </w:pPr>
      <w:r>
        <w:rPr>
          <w:rFonts w:ascii="宋体" w:cs="宋体" w:eastAsia="宋体" w:hAnsi="宋体"/>
          <w:sz w:val="28"/>
          <w:szCs w:val="28"/>
          <w:color w:val="0C0C0C"/>
        </w:rPr>
        <w:t>市政配套设施不完善、社会服务设施不健全、居民改造意愿强烈的老旧住宅小区，基本完成</w:t>
      </w:r>
      <w:r>
        <w:rPr>
          <w:rFonts w:ascii="Arial" w:cs="Arial" w:eastAsia="Arial" w:hAnsi="Arial"/>
          <w:sz w:val="28"/>
          <w:szCs w:val="28"/>
          <w:color w:val="0C0C0C"/>
        </w:rPr>
        <w:t xml:space="preserve"> 2000 </w:t>
      </w:r>
      <w:r>
        <w:rPr>
          <w:rFonts w:ascii="宋体" w:cs="宋体" w:eastAsia="宋体" w:hAnsi="宋体"/>
          <w:sz w:val="28"/>
          <w:szCs w:val="28"/>
          <w:color w:val="0C0C0C"/>
        </w:rPr>
        <w:t>年底前建成的</w:t>
      </w:r>
      <w:r>
        <w:rPr>
          <w:rFonts w:ascii="Arial" w:cs="Arial" w:eastAsia="Arial" w:hAnsi="Arial"/>
          <w:sz w:val="28"/>
          <w:szCs w:val="28"/>
          <w:color w:val="0C0C0C"/>
        </w:rPr>
        <w:t xml:space="preserve"> 21.9 </w:t>
      </w:r>
      <w:r>
        <w:rPr>
          <w:rFonts w:ascii="宋体" w:cs="宋体" w:eastAsia="宋体" w:hAnsi="宋体"/>
          <w:sz w:val="28"/>
          <w:szCs w:val="28"/>
          <w:color w:val="0C0C0C"/>
        </w:rPr>
        <w:t>万个需改造城镇老旧小区改造任务。</w:t>
      </w:r>
    </w:p>
    <w:p>
      <w:pPr>
        <w:spacing w:after="0" w:line="268" w:lineRule="exact"/>
        <w:rPr>
          <w:sz w:val="20"/>
          <w:szCs w:val="20"/>
          <w:color w:val="auto"/>
        </w:rPr>
      </w:pPr>
    </w:p>
    <w:p>
      <w:pPr>
        <w:ind w:left="260" w:right="106" w:firstLine="638"/>
        <w:spacing w:after="0" w:line="566" w:lineRule="exact"/>
        <w:rPr>
          <w:sz w:val="20"/>
          <w:szCs w:val="20"/>
          <w:color w:val="auto"/>
        </w:rPr>
      </w:pPr>
      <w:r>
        <w:rPr>
          <w:rFonts w:ascii="宋体" w:cs="宋体" w:eastAsia="宋体" w:hAnsi="宋体"/>
          <w:sz w:val="32"/>
          <w:szCs w:val="32"/>
          <w:color w:val="auto"/>
        </w:rPr>
        <w:t>（八）城市燃气管道等老化更新改造行动。在尽快全面摸清城市燃气管道老化更新改造底数的基础上，各地要督促省级和城市行业主管部门分别牵头组织编制本省份和本城市燃气管道老化更新改造方案，建立健全适应改造需要的工作机制，切实落实企业主体责任和地方政府属地责任。以材质落后、使用年限较长、存在安全隐患的燃气管道设施为重点，全面启动城市燃气管道老化更新改造工作，到</w:t>
      </w:r>
      <w:r>
        <w:rPr>
          <w:rFonts w:ascii="Arial" w:cs="Arial" w:eastAsia="Arial" w:hAnsi="Arial"/>
          <w:sz w:val="32"/>
          <w:szCs w:val="32"/>
          <w:color w:val="auto"/>
        </w:rPr>
        <w:t>“</w:t>
      </w:r>
      <w:r>
        <w:rPr>
          <w:rFonts w:ascii="宋体" w:cs="宋体" w:eastAsia="宋体" w:hAnsi="宋体"/>
          <w:sz w:val="32"/>
          <w:szCs w:val="32"/>
          <w:color w:val="auto"/>
        </w:rPr>
        <w:t>十四五</w:t>
      </w:r>
      <w:r>
        <w:rPr>
          <w:rFonts w:ascii="Arial" w:cs="Arial" w:eastAsia="Arial" w:hAnsi="Arial"/>
          <w:sz w:val="32"/>
          <w:szCs w:val="32"/>
          <w:color w:val="auto"/>
        </w:rPr>
        <w:t>”</w:t>
      </w:r>
      <w:r>
        <w:rPr>
          <w:rFonts w:ascii="宋体" w:cs="宋体" w:eastAsia="宋体" w:hAnsi="宋体"/>
          <w:sz w:val="32"/>
          <w:szCs w:val="32"/>
          <w:color w:val="auto"/>
        </w:rPr>
        <w:t>期末，基本完成城市燃气管道老化更新改造任务。对超过使用年限、材质落后或存在隐患的供水管道进行更新改造，降低漏损率，保障水质安全。实施排水管道更新改造、破损修复改造，改造易造成积水内涝问题和混错接的雨污水管网，因地制宜推进雨污分流改造，基本解决市政污水管网混错接问题，基本消除污水直排。加快推进城市老旧供热管网改造工作，对使用年限较长的老旧供热管道进行更新改造，对存在漏损和安全隐患、节能效果不佳的供热一级、二级管网和换热站等设施实施改造。</w:t>
      </w:r>
    </w:p>
    <w:p>
      <w:pPr>
        <w:sectPr>
          <w:pgSz w:w="11900" w:h="16838" w:orient="portrait"/>
          <w:cols w:equalWidth="0" w:num="1">
            <w:col w:w="9026"/>
          </w:cols>
          <w:pgMar w:left="1440" w:top="1440" w:right="1440" w:bottom="654"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1"/>
          <w:szCs w:val="21"/>
          <w:color w:val="auto"/>
        </w:rPr>
        <w:t>32</w:t>
      </w:r>
    </w:p>
    <w:p>
      <w:pPr>
        <w:sectPr>
          <w:pgSz w:w="11900" w:h="16838" w:orient="portrait"/>
          <w:cols w:equalWidth="0" w:num="1">
            <w:col w:w="9026"/>
          </w:cols>
          <w:pgMar w:left="1440" w:top="1440" w:right="1440" w:bottom="654" w:gutter="0" w:footer="0" w:header="0"/>
          <w:type w:val="continuous"/>
        </w:sectPr>
      </w:pPr>
    </w:p>
    <w:bookmarkStart w:id="32" w:name="page33"/>
    <w:bookmarkEnd w:id="32"/>
    <w:p>
      <w:pPr>
        <w:spacing w:after="0" w:line="200" w:lineRule="exact"/>
        <w:rPr>
          <w:sz w:val="20"/>
          <w:szCs w:val="20"/>
          <w:color w:val="auto"/>
        </w:rPr>
      </w:pPr>
    </w:p>
    <w:p>
      <w:pPr>
        <w:spacing w:after="0" w:line="255" w:lineRule="exact"/>
        <w:rPr>
          <w:sz w:val="20"/>
          <w:szCs w:val="20"/>
          <w:color w:val="auto"/>
        </w:rPr>
      </w:pPr>
    </w:p>
    <w:p>
      <w:pPr>
        <w:jc w:val="both"/>
        <w:ind w:left="260" w:right="266" w:firstLine="638"/>
        <w:spacing w:after="0" w:line="550" w:lineRule="exact"/>
        <w:rPr>
          <w:sz w:val="20"/>
          <w:szCs w:val="20"/>
          <w:color w:val="auto"/>
        </w:rPr>
      </w:pPr>
      <w:r>
        <w:rPr>
          <w:rFonts w:ascii="宋体" w:cs="宋体" w:eastAsia="宋体" w:hAnsi="宋体"/>
          <w:sz w:val="31"/>
          <w:szCs w:val="31"/>
          <w:color w:val="auto"/>
        </w:rPr>
        <w:t>城市人民政府要切实落实城市各类地下管道建设改造等的总体责任，加强统筹协调，优化项目空间布局和建设时序安排，统筹加快推进城市燃气管道等老化更新改造，做好与城镇老旧小区改造、汛期防洪排涝等工作的衔接，推进相关消防设施设备补短板。在城市老旧管网改造等工作中协同推进城市地下综合管廊建设，在城市新区根据功能需求积极发展干、支线管廊，合理布局管廊系统，加强市政基础设施体系化建设，促进城市地下设施之间竖向分层布局、横向紧密衔接。</w:t>
      </w:r>
    </w:p>
    <w:p>
      <w:pPr>
        <w:spacing w:after="0" w:line="232" w:lineRule="exact"/>
        <w:rPr>
          <w:sz w:val="20"/>
          <w:szCs w:val="20"/>
          <w:color w:val="auto"/>
        </w:rPr>
      </w:pPr>
    </w:p>
    <w:p>
      <w:pPr>
        <w:ind w:left="900"/>
        <w:spacing w:after="0" w:line="366" w:lineRule="exact"/>
        <w:rPr>
          <w:sz w:val="20"/>
          <w:szCs w:val="20"/>
          <w:color w:val="auto"/>
        </w:rPr>
      </w:pPr>
      <w:r>
        <w:rPr>
          <w:rFonts w:ascii="黑体" w:cs="黑体" w:eastAsia="黑体" w:hAnsi="黑体"/>
          <w:sz w:val="32"/>
          <w:szCs w:val="32"/>
          <w:color w:val="auto"/>
        </w:rPr>
        <w:t>五、保障措施</w:t>
      </w:r>
    </w:p>
    <w:p>
      <w:pPr>
        <w:spacing w:after="0" w:line="262" w:lineRule="exact"/>
        <w:rPr>
          <w:sz w:val="20"/>
          <w:szCs w:val="20"/>
          <w:color w:val="auto"/>
        </w:rPr>
      </w:pPr>
    </w:p>
    <w:p>
      <w:pPr>
        <w:jc w:val="both"/>
        <w:ind w:left="260" w:right="266" w:firstLine="638"/>
        <w:spacing w:after="0" w:line="562" w:lineRule="exact"/>
        <w:rPr>
          <w:sz w:val="20"/>
          <w:szCs w:val="20"/>
          <w:color w:val="auto"/>
        </w:rPr>
      </w:pPr>
      <w:r>
        <w:rPr>
          <w:rFonts w:ascii="宋体" w:cs="宋体" w:eastAsia="宋体" w:hAnsi="宋体"/>
          <w:sz w:val="31"/>
          <w:szCs w:val="31"/>
          <w:color w:val="auto"/>
        </w:rPr>
        <w:t>（一）落实工作责任。地方各级人民政府要明确本地区目标任务，制定实施方案，统筹发展和安全两件大事，落实城市基础设施建设重点任务和重大工程，激发全社会参与规划实施的积极性，最大限度凝聚全社会共识和力量。城市人民政府是城市基础设施规划建设管理的责任主体，要建立住房和城乡建设、发展改革、财政、交通、水利、工信、民政、广电、能源等多部门统筹协调的工作机制，主动担责、积极作为，形成工作合力。省级人民政府要加大指导、组织、协调、支持和监督力度，并出台具体政策措施，推动区域、城市群、城乡基础设施共建共享。住房和城乡建设部、国家发展改革委等部门要加强统筹，做好顶层设计，加强对本规划实施的支持、协调和督导工作，建立健全实施评估等保障机制。</w:t>
      </w:r>
    </w:p>
    <w:p>
      <w:pPr>
        <w:spacing w:after="0" w:line="272" w:lineRule="exact"/>
        <w:rPr>
          <w:sz w:val="20"/>
          <w:szCs w:val="20"/>
          <w:color w:val="auto"/>
        </w:rPr>
      </w:pPr>
    </w:p>
    <w:p>
      <w:pPr>
        <w:jc w:val="both"/>
        <w:ind w:left="260" w:right="266" w:firstLine="638"/>
        <w:spacing w:after="0" w:line="451" w:lineRule="exact"/>
        <w:rPr>
          <w:sz w:val="20"/>
          <w:szCs w:val="20"/>
          <w:color w:val="auto"/>
        </w:rPr>
      </w:pPr>
      <w:r>
        <w:rPr>
          <w:rFonts w:ascii="宋体" w:cs="宋体" w:eastAsia="宋体" w:hAnsi="宋体"/>
          <w:sz w:val="31"/>
          <w:szCs w:val="31"/>
          <w:color w:val="auto"/>
        </w:rPr>
        <w:t>（二）加大政府投入力度。加大对城市基础设施在建项目和</w:t>
      </w:r>
      <w:r>
        <w:rPr>
          <w:rFonts w:ascii="Arial" w:cs="Arial" w:eastAsia="Arial" w:hAnsi="Arial"/>
          <w:sz w:val="31"/>
          <w:szCs w:val="31"/>
          <w:color w:val="auto"/>
        </w:rPr>
        <w:t>“</w:t>
      </w:r>
      <w:r>
        <w:rPr>
          <w:rFonts w:ascii="宋体" w:cs="宋体" w:eastAsia="宋体" w:hAnsi="宋体"/>
          <w:sz w:val="31"/>
          <w:szCs w:val="31"/>
          <w:color w:val="auto"/>
        </w:rPr>
        <w:t>十四五</w:t>
      </w:r>
      <w:r>
        <w:rPr>
          <w:rFonts w:ascii="Arial" w:cs="Arial" w:eastAsia="Arial" w:hAnsi="Arial"/>
          <w:sz w:val="31"/>
          <w:szCs w:val="31"/>
          <w:color w:val="auto"/>
        </w:rPr>
        <w:t>”</w:t>
      </w:r>
      <w:r>
        <w:rPr>
          <w:rFonts w:ascii="宋体" w:cs="宋体" w:eastAsia="宋体" w:hAnsi="宋体"/>
          <w:sz w:val="31"/>
          <w:szCs w:val="31"/>
          <w:color w:val="auto"/>
        </w:rPr>
        <w:t>时期重大项目建设的财政资金投入力度。通过中</w:t>
      </w:r>
    </w:p>
    <w:p>
      <w:pPr>
        <w:sectPr>
          <w:pgSz w:w="11900" w:h="16838" w:orient="portrait"/>
          <w:cols w:equalWidth="0" w:num="1">
            <w:col w:w="9026"/>
          </w:cols>
          <w:pgMar w:left="1440" w:top="1440" w:right="1440" w:bottom="654" w:gutter="0" w:footer="0" w:header="0"/>
        </w:sectPr>
      </w:pPr>
    </w:p>
    <w:p>
      <w:pPr>
        <w:spacing w:after="0" w:line="317"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1"/>
          <w:szCs w:val="21"/>
          <w:color w:val="auto"/>
        </w:rPr>
        <w:t>33</w:t>
      </w:r>
    </w:p>
    <w:p>
      <w:pPr>
        <w:sectPr>
          <w:pgSz w:w="11900" w:h="16838" w:orient="portrait"/>
          <w:cols w:equalWidth="0" w:num="1">
            <w:col w:w="9026"/>
          </w:cols>
          <w:pgMar w:left="1440" w:top="1440" w:right="1440" w:bottom="654" w:gutter="0" w:footer="0" w:header="0"/>
          <w:type w:val="continuous"/>
        </w:sectPr>
      </w:pPr>
    </w:p>
    <w:bookmarkStart w:id="33" w:name="page34"/>
    <w:bookmarkEnd w:id="33"/>
    <w:p>
      <w:pPr>
        <w:spacing w:after="0" w:line="200" w:lineRule="exact"/>
        <w:rPr>
          <w:sz w:val="20"/>
          <w:szCs w:val="20"/>
          <w:color w:val="auto"/>
        </w:rPr>
      </w:pPr>
    </w:p>
    <w:p>
      <w:pPr>
        <w:spacing w:after="0" w:line="255" w:lineRule="exact"/>
        <w:rPr>
          <w:sz w:val="20"/>
          <w:szCs w:val="20"/>
          <w:color w:val="auto"/>
        </w:rPr>
      </w:pPr>
    </w:p>
    <w:p>
      <w:pPr>
        <w:ind w:left="260" w:right="106"/>
        <w:spacing w:after="0" w:line="531" w:lineRule="exact"/>
        <w:rPr>
          <w:sz w:val="20"/>
          <w:szCs w:val="20"/>
          <w:color w:val="auto"/>
        </w:rPr>
      </w:pPr>
      <w:r>
        <w:rPr>
          <w:rFonts w:ascii="宋体" w:cs="宋体" w:eastAsia="宋体" w:hAnsi="宋体"/>
          <w:sz w:val="32"/>
          <w:szCs w:val="32"/>
          <w:color w:val="auto"/>
        </w:rPr>
        <w:t>央预算内投资、地方政府债券、企业债券等方式，对符合条件的城市基础设施建设项目给予支持。各级人民政府按照量力而行、尽力而为的原则，加大对城市基础设施建设重点项目资金投入，加强资金绩效管理，完善</w:t>
      </w:r>
      <w:r>
        <w:rPr>
          <w:rFonts w:ascii="Arial" w:cs="Arial" w:eastAsia="Arial" w:hAnsi="Arial"/>
          <w:sz w:val="32"/>
          <w:szCs w:val="32"/>
          <w:color w:val="auto"/>
        </w:rPr>
        <w:t>“</w:t>
      </w:r>
      <w:r>
        <w:rPr>
          <w:rFonts w:ascii="宋体" w:cs="宋体" w:eastAsia="宋体" w:hAnsi="宋体"/>
          <w:sz w:val="32"/>
          <w:szCs w:val="32"/>
          <w:color w:val="auto"/>
        </w:rPr>
        <w:t>按效付费</w:t>
      </w:r>
      <w:r>
        <w:rPr>
          <w:rFonts w:ascii="Arial" w:cs="Arial" w:eastAsia="Arial" w:hAnsi="Arial"/>
          <w:sz w:val="32"/>
          <w:szCs w:val="32"/>
          <w:color w:val="auto"/>
        </w:rPr>
        <w:t>”</w:t>
      </w:r>
      <w:r>
        <w:rPr>
          <w:rFonts w:ascii="宋体" w:cs="宋体" w:eastAsia="宋体" w:hAnsi="宋体"/>
          <w:sz w:val="32"/>
          <w:szCs w:val="32"/>
          <w:color w:val="auto"/>
        </w:rPr>
        <w:t>等资金安排机制，切实提高资金使用效益。</w:t>
      </w:r>
    </w:p>
    <w:p>
      <w:pPr>
        <w:spacing w:after="0" w:line="271" w:lineRule="exact"/>
        <w:rPr>
          <w:sz w:val="20"/>
          <w:szCs w:val="20"/>
          <w:color w:val="auto"/>
        </w:rPr>
      </w:pPr>
    </w:p>
    <w:p>
      <w:pPr>
        <w:jc w:val="both"/>
        <w:ind w:left="260" w:right="126" w:firstLine="638"/>
        <w:spacing w:after="0" w:line="560" w:lineRule="exact"/>
        <w:rPr>
          <w:sz w:val="20"/>
          <w:szCs w:val="20"/>
          <w:color w:val="auto"/>
        </w:rPr>
      </w:pPr>
      <w:r>
        <w:rPr>
          <w:rFonts w:ascii="宋体" w:cs="宋体" w:eastAsia="宋体" w:hAnsi="宋体"/>
          <w:sz w:val="31"/>
          <w:szCs w:val="31"/>
          <w:color w:val="auto"/>
        </w:rPr>
        <w:t>（三）多渠道筹措资金。创新资金投入方式和运行机制，推进基础设施各类资金整合和统筹使用。鼓励各类金融机构在依法合规和风险可控前提下，加大对城市基础设施建设项目的信贷支持力度。区别相关建设项目的经营性与非经营性属性，建立政府与社会资本风险分担、收益共享的合作机制，采取多种形式，规范有序推进政府和社会资本合作（</w:t>
      </w:r>
      <w:r>
        <w:rPr>
          <w:rFonts w:ascii="Arial" w:cs="Arial" w:eastAsia="Arial" w:hAnsi="Arial"/>
          <w:sz w:val="31"/>
          <w:szCs w:val="31"/>
          <w:color w:val="auto"/>
        </w:rPr>
        <w:t>PPP</w:t>
      </w:r>
      <w:r>
        <w:rPr>
          <w:rFonts w:ascii="宋体" w:cs="宋体" w:eastAsia="宋体" w:hAnsi="宋体"/>
          <w:sz w:val="31"/>
          <w:szCs w:val="31"/>
          <w:color w:val="auto"/>
        </w:rPr>
        <w:t>）。推动基础设施领域不动产投资信托基金（</w:t>
      </w:r>
      <w:r>
        <w:rPr>
          <w:rFonts w:ascii="Arial" w:cs="Arial" w:eastAsia="Arial" w:hAnsi="Arial"/>
          <w:sz w:val="31"/>
          <w:szCs w:val="31"/>
          <w:color w:val="auto"/>
        </w:rPr>
        <w:t>REITs)</w:t>
      </w:r>
      <w:r>
        <w:rPr>
          <w:rFonts w:ascii="宋体" w:cs="宋体" w:eastAsia="宋体" w:hAnsi="宋体"/>
          <w:sz w:val="31"/>
          <w:szCs w:val="31"/>
          <w:color w:val="auto"/>
        </w:rPr>
        <w:t>健康发展，盘活城市基础设施存量资产。各级人民政府要结合本地实际，制定出台相关政策措施，鼓励社会资本参与基础设施建设、运营维护和服务。鼓励民间投资以城市基础设施等为重点，通过综合开发模式参与重点领域项目建设。</w:t>
      </w:r>
    </w:p>
    <w:p>
      <w:pPr>
        <w:spacing w:after="0" w:line="276" w:lineRule="exact"/>
        <w:rPr>
          <w:sz w:val="20"/>
          <w:szCs w:val="20"/>
          <w:color w:val="auto"/>
        </w:rPr>
      </w:pPr>
    </w:p>
    <w:p>
      <w:pPr>
        <w:ind w:left="260" w:right="106" w:firstLine="638"/>
        <w:spacing w:after="0" w:line="545" w:lineRule="exact"/>
        <w:rPr>
          <w:sz w:val="20"/>
          <w:szCs w:val="20"/>
          <w:color w:val="auto"/>
        </w:rPr>
      </w:pPr>
      <w:r>
        <w:rPr>
          <w:rFonts w:ascii="宋体" w:cs="宋体" w:eastAsia="宋体" w:hAnsi="宋体"/>
          <w:sz w:val="31"/>
          <w:szCs w:val="31"/>
          <w:color w:val="auto"/>
        </w:rPr>
        <w:t>（四）建立城市基础设施普查归档和体检评估机制。以城市人民政府为实施主体，加快开展城市市政基础设施现状普查，摸清底数、排查风险、找准短板；建立城市基础设施地理信息系统（</w:t>
      </w:r>
      <w:r>
        <w:rPr>
          <w:rFonts w:ascii="Arial" w:cs="Arial" w:eastAsia="Arial" w:hAnsi="Arial"/>
          <w:sz w:val="31"/>
          <w:szCs w:val="31"/>
          <w:color w:val="auto"/>
        </w:rPr>
        <w:t>GIS</w:t>
      </w:r>
      <w:r>
        <w:rPr>
          <w:rFonts w:ascii="宋体" w:cs="宋体" w:eastAsia="宋体" w:hAnsi="宋体"/>
          <w:sz w:val="31"/>
          <w:szCs w:val="31"/>
          <w:color w:val="auto"/>
        </w:rPr>
        <w:t>），实现基础设施信息化、账册化、动态化管理。制定评价指标体系和评价标准，结合社会满意度调查开展常态化的基础设施体检评估工作，总结建设成效、质量现状、运行效率等，精确查找问题短板，提出有针对性的提升措施，纳入</w:t>
      </w:r>
    </w:p>
    <w:p>
      <w:pPr>
        <w:sectPr>
          <w:pgSz w:w="11900" w:h="16838" w:orient="portrait"/>
          <w:cols w:equalWidth="0" w:num="1">
            <w:col w:w="9026"/>
          </w:cols>
          <w:pgMar w:left="1440" w:top="1440" w:right="1440" w:bottom="654" w:gutter="0" w:footer="0" w:header="0"/>
        </w:sectPr>
      </w:pPr>
    </w:p>
    <w:p>
      <w:pPr>
        <w:spacing w:after="0" w:line="326"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1"/>
          <w:szCs w:val="21"/>
          <w:color w:val="auto"/>
        </w:rPr>
        <w:t>34</w:t>
      </w:r>
    </w:p>
    <w:p>
      <w:pPr>
        <w:sectPr>
          <w:pgSz w:w="11900" w:h="16838" w:orient="portrait"/>
          <w:cols w:equalWidth="0" w:num="1">
            <w:col w:w="9026"/>
          </w:cols>
          <w:pgMar w:left="1440" w:top="1440" w:right="1440" w:bottom="654" w:gutter="0" w:footer="0" w:header="0"/>
          <w:type w:val="continuous"/>
        </w:sectPr>
      </w:pPr>
    </w:p>
    <w:bookmarkStart w:id="34" w:name="page35"/>
    <w:bookmarkEnd w:id="34"/>
    <w:p>
      <w:pPr>
        <w:spacing w:after="0" w:line="200" w:lineRule="exact"/>
        <w:rPr>
          <w:sz w:val="20"/>
          <w:szCs w:val="20"/>
          <w:color w:val="auto"/>
        </w:rPr>
      </w:pPr>
    </w:p>
    <w:p>
      <w:pPr>
        <w:spacing w:after="0" w:line="255" w:lineRule="exact"/>
        <w:rPr>
          <w:sz w:val="20"/>
          <w:szCs w:val="20"/>
          <w:color w:val="auto"/>
        </w:rPr>
      </w:pPr>
    </w:p>
    <w:p>
      <w:pPr>
        <w:ind w:left="260" w:right="266"/>
        <w:spacing w:after="0" w:line="451" w:lineRule="exact"/>
        <w:rPr>
          <w:sz w:val="20"/>
          <w:szCs w:val="20"/>
          <w:color w:val="auto"/>
        </w:rPr>
      </w:pPr>
      <w:r>
        <w:rPr>
          <w:rFonts w:ascii="宋体" w:cs="宋体" w:eastAsia="宋体" w:hAnsi="宋体"/>
          <w:sz w:val="32"/>
          <w:szCs w:val="32"/>
          <w:color w:val="auto"/>
        </w:rPr>
        <w:t>基础设施建设规划及实施计划，形成集预警、监测、评估、反馈为一体的联动工作机制。</w:t>
      </w:r>
    </w:p>
    <w:p>
      <w:pPr>
        <w:spacing w:after="0" w:line="268" w:lineRule="exact"/>
        <w:rPr>
          <w:sz w:val="20"/>
          <w:szCs w:val="20"/>
          <w:color w:val="auto"/>
        </w:rPr>
      </w:pPr>
    </w:p>
    <w:p>
      <w:pPr>
        <w:jc w:val="both"/>
        <w:ind w:left="260" w:right="126" w:firstLine="638"/>
        <w:spacing w:after="0" w:line="555" w:lineRule="exact"/>
        <w:rPr>
          <w:sz w:val="20"/>
          <w:szCs w:val="20"/>
          <w:color w:val="auto"/>
        </w:rPr>
      </w:pPr>
      <w:r>
        <w:rPr>
          <w:rFonts w:ascii="宋体" w:cs="宋体" w:eastAsia="宋体" w:hAnsi="宋体"/>
          <w:sz w:val="31"/>
          <w:szCs w:val="31"/>
          <w:color w:val="auto"/>
        </w:rPr>
        <w:t>（五）健全法规标准体系。加快推进城市基础设施建设领域立法研究工作。从加强统筹地下管线等基础设施规划、建设和管理，提高基础设施绿色化、整体性、系统性的要求出发，加快完善城市轨道交通、排水防涝、垃圾分类、海绵城市、综合管廊、生态基础设施、新型城市基础设施以及城市基础设施安全保障与灾害应急管理等重点领域的法规和标准规范。按照行政审批改革要求，及时调整不符合</w:t>
      </w:r>
      <w:r>
        <w:rPr>
          <w:rFonts w:ascii="Arial" w:cs="Arial" w:eastAsia="Arial" w:hAnsi="Arial"/>
          <w:sz w:val="31"/>
          <w:szCs w:val="31"/>
          <w:color w:val="auto"/>
        </w:rPr>
        <w:t>“</w:t>
      </w:r>
      <w:r>
        <w:rPr>
          <w:rFonts w:ascii="宋体" w:cs="宋体" w:eastAsia="宋体" w:hAnsi="宋体"/>
          <w:sz w:val="31"/>
          <w:szCs w:val="31"/>
          <w:color w:val="auto"/>
        </w:rPr>
        <w:t>放管服</w:t>
      </w:r>
      <w:r>
        <w:rPr>
          <w:rFonts w:ascii="Arial" w:cs="Arial" w:eastAsia="Arial" w:hAnsi="Arial"/>
          <w:sz w:val="31"/>
          <w:szCs w:val="31"/>
          <w:color w:val="auto"/>
        </w:rPr>
        <w:t>”</w:t>
      </w:r>
      <w:r>
        <w:rPr>
          <w:rFonts w:ascii="宋体" w:cs="宋体" w:eastAsia="宋体" w:hAnsi="宋体"/>
          <w:sz w:val="31"/>
          <w:szCs w:val="31"/>
          <w:color w:val="auto"/>
        </w:rPr>
        <w:t>要求的现有法规和标准规范，加快建立健全全方位、多层次、立体化监管体系，实现事前事中事后全链条全领域监管，提高监管效能。</w:t>
      </w:r>
    </w:p>
    <w:p>
      <w:pPr>
        <w:spacing w:after="0" w:line="268" w:lineRule="exact"/>
        <w:rPr>
          <w:sz w:val="20"/>
          <w:szCs w:val="20"/>
          <w:color w:val="auto"/>
        </w:rPr>
      </w:pPr>
    </w:p>
    <w:p>
      <w:pPr>
        <w:ind w:left="260" w:right="106" w:firstLine="638"/>
        <w:spacing w:after="0" w:line="562" w:lineRule="exact"/>
        <w:rPr>
          <w:sz w:val="20"/>
          <w:szCs w:val="20"/>
          <w:color w:val="auto"/>
        </w:rPr>
      </w:pPr>
      <w:r>
        <w:rPr>
          <w:rFonts w:ascii="宋体" w:cs="宋体" w:eastAsia="宋体" w:hAnsi="宋体"/>
          <w:sz w:val="32"/>
          <w:szCs w:val="32"/>
          <w:color w:val="auto"/>
        </w:rPr>
        <w:t>（六）深化市政公用事业改革。加快推进市政公用事业竞争性环节市场化改革，进一步放开水、电、气、热经营服务市场准入限制。在城市基础设施领域要素获取、准入许可、经营运行、政府采购和招投标等方面，推动各类市场主体公平参与。推动向规模化、集约化、跨地区经营方向发展，促进行业提质增效。深化市政公用事业价格机制改革，加快完善价格形成机制。逐步建立健全城市水、电、气、热等领域上下游价格联动机制，建立健全价格动态调整机制。强化落实污水处理费动态调整机制，加快构建覆盖成本并合理盈利的城市固体废弃物处理收费机制。清晰界定政府、企业和用户的权利义务，建立健全公用事业和公益性服务财政投入与价格调整相协调机制，满足多元化发展需要。</w:t>
      </w:r>
    </w:p>
    <w:p>
      <w:pPr>
        <w:sectPr>
          <w:pgSz w:w="11900" w:h="16838" w:orient="portrait"/>
          <w:cols w:equalWidth="0" w:num="1">
            <w:col w:w="9026"/>
          </w:cols>
          <w:pgMar w:left="1440" w:top="1440" w:right="1440" w:bottom="654" w:gutter="0" w:footer="0" w:header="0"/>
        </w:sectPr>
      </w:pPr>
    </w:p>
    <w:p>
      <w:pPr>
        <w:spacing w:after="0" w:line="323"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1"/>
          <w:szCs w:val="21"/>
          <w:color w:val="auto"/>
        </w:rPr>
        <w:t>35</w:t>
      </w:r>
    </w:p>
    <w:p>
      <w:pPr>
        <w:sectPr>
          <w:pgSz w:w="11900" w:h="16838" w:orient="portrait"/>
          <w:cols w:equalWidth="0" w:num="1">
            <w:col w:w="9026"/>
          </w:cols>
          <w:pgMar w:left="1440" w:top="1440" w:right="1440" w:bottom="654" w:gutter="0" w:footer="0" w:header="0"/>
          <w:type w:val="continuous"/>
        </w:sectPr>
      </w:pPr>
    </w:p>
    <w:bookmarkStart w:id="35" w:name="page36"/>
    <w:bookmarkEnd w:id="35"/>
    <w:p>
      <w:pPr>
        <w:spacing w:after="0" w:line="200" w:lineRule="exact"/>
        <w:rPr>
          <w:sz w:val="20"/>
          <w:szCs w:val="20"/>
          <w:color w:val="auto"/>
        </w:rPr>
      </w:pPr>
    </w:p>
    <w:p>
      <w:pPr>
        <w:spacing w:after="0" w:line="255" w:lineRule="exact"/>
        <w:rPr>
          <w:sz w:val="20"/>
          <w:szCs w:val="20"/>
          <w:color w:val="auto"/>
        </w:rPr>
      </w:pPr>
    </w:p>
    <w:p>
      <w:pPr>
        <w:jc w:val="both"/>
        <w:ind w:left="260" w:right="126" w:firstLine="638"/>
        <w:spacing w:after="0" w:line="562" w:lineRule="exact"/>
        <w:rPr>
          <w:sz w:val="20"/>
          <w:szCs w:val="20"/>
          <w:color w:val="auto"/>
        </w:rPr>
      </w:pPr>
      <w:r>
        <w:rPr>
          <w:rFonts w:ascii="宋体" w:cs="宋体" w:eastAsia="宋体" w:hAnsi="宋体"/>
          <w:sz w:val="32"/>
          <w:szCs w:val="32"/>
          <w:color w:val="auto"/>
        </w:rPr>
        <w:t>（七）积极推进科技创新及应用。加强城市基础设施关键技术与设备研发力度，坚持创新驱动，推动重点装备产业化发展。推动海绵城市建设、新型城市基础设施建设、地下基础设施安全运行监测等相关技术及理论创新和重大科技成果应用，积极推广适用技术，加大技术成果转化和应用。建立完善城市基础设施企业主导的产业技术创新机制，激发企业创新内生动力；健全技术创新的市场导向机制和政府引导机制，加强产学研协同创新，引导各类创新要素向城市基础设施企业集聚，培育企业新的增长点，促进经济转型升级提质增效。加强城市基础设施规划、建设、投资、运营等方面专业技术管理人才培养力度。大力发展职业教育和专业技能培训，提高从业人员职业技能水平。</w:t>
      </w:r>
    </w:p>
    <w:p>
      <w:pPr>
        <w:sectPr>
          <w:pgSz w:w="11900" w:h="16838" w:orient="portrait"/>
          <w:cols w:equalWidth="0" w:num="1">
            <w:col w:w="9026"/>
          </w:cols>
          <w:pgMar w:left="1440" w:top="1440" w:right="1440" w:bottom="654"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1"/>
          <w:szCs w:val="21"/>
          <w:color w:val="auto"/>
        </w:rPr>
        <w:t>36</w:t>
      </w:r>
    </w:p>
    <w:sectPr>
      <w:pgSz w:w="11900" w:h="16838" w:orient="portrait"/>
      <w:cols w:equalWidth="0" w:num="1">
        <w:col w:w="9026"/>
      </w:cols>
      <w:pgMar w:left="1440" w:top="1440" w:right="1440" w:bottom="654"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400001FF" w:csb1="FFFF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952"/>
    <w:multiLevelType w:val="hybridMultilevel"/>
    <w:lvl w:ilvl="0">
      <w:lvlJc w:val="left"/>
      <w:lvlText w:val="到"/>
      <w:numFmt w:val="bullet"/>
      <w:start w:val="1"/>
    </w:lvl>
  </w:abstractNum>
  <w:abstractNum w:abstractNumId="1">
    <w:nsid w:val="5F90"/>
    <w:multiLevelType w:val="hybridMultilevel"/>
    <w:lvl w:ilvl="0">
      <w:lvlJc w:val="left"/>
      <w:lvlText w:val="口"/>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2022-08-02T11:16:06Z</dcterms:created>
  <dcterms:modified xsi:type="dcterms:W3CDTF">2022-08-02T11:16:06Z</dcterms:modified>
</cp:coreProperties>
</file>