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黑体" w:hAnsi="黑体" w:eastAsia="黑体"/>
          <w:b/>
          <w:bCs/>
          <w:sz w:val="36"/>
          <w:szCs w:val="40"/>
        </w:rPr>
      </w:pPr>
      <w:bookmarkStart w:id="6" w:name="_GoBack"/>
      <w:bookmarkEnd w:id="6"/>
      <w:r>
        <w:rPr>
          <w:rFonts w:hint="eastAsia" w:ascii="黑体" w:hAnsi="黑体" w:eastAsia="黑体"/>
          <w:b/>
          <w:bCs/>
          <w:sz w:val="36"/>
          <w:szCs w:val="40"/>
        </w:rPr>
        <w:t>附件：山下溪周边地块土地征收成片开发方案</w:t>
      </w:r>
    </w:p>
    <w:p>
      <w:pPr>
        <w:pStyle w:val="2"/>
        <w:ind w:firstLine="360"/>
      </w:pPr>
      <w:bookmarkStart w:id="0" w:name="_Toc19319_WPSOffice_Level1"/>
      <w:bookmarkStart w:id="1" w:name="_Toc21406_WPSOffice_Level1"/>
      <w:bookmarkStart w:id="2" w:name="_Toc16601"/>
      <w:bookmarkStart w:id="3" w:name="_Toc8251_WPSOffice_Level1"/>
      <w:bookmarkStart w:id="4" w:name="_Toc1018"/>
    </w:p>
    <w:p>
      <w:pPr>
        <w:pStyle w:val="7"/>
        <w:numPr>
          <w:ilvl w:val="0"/>
          <w:numId w:val="0"/>
        </w:numPr>
        <w:spacing w:line="360" w:lineRule="auto"/>
        <w:ind w:left="414" w:leftChars="148" w:firstLine="137" w:firstLineChars="49"/>
        <w:jc w:val="both"/>
        <w:rPr>
          <w:rFonts w:ascii="黑体" w:hAnsi="黑体" w:eastAsia="黑体" w:cs="黑体"/>
          <w:b w:val="0"/>
          <w:bCs w:val="0"/>
          <w:sz w:val="28"/>
          <w:szCs w:val="28"/>
          <w:shd w:val="clear" w:color="auto" w:fill="FFFFFF"/>
        </w:rPr>
      </w:pPr>
      <w:r>
        <w:rPr>
          <w:rFonts w:hint="eastAsia" w:ascii="黑体" w:hAnsi="黑体" w:eastAsia="黑体" w:cs="黑体"/>
          <w:b w:val="0"/>
          <w:bCs w:val="0"/>
          <w:sz w:val="28"/>
          <w:szCs w:val="28"/>
          <w:shd w:val="clear" w:color="auto" w:fill="FFFFFF"/>
        </w:rPr>
        <w:t>一、编制依据</w:t>
      </w:r>
    </w:p>
    <w:p>
      <w:pPr>
        <w:widowControl/>
        <w:ind w:firstLine="560"/>
        <w:rPr>
          <w:rFonts w:ascii="仿宋_GB2312" w:hAnsi="仿宋_GB2312" w:cs="仿宋_GB2312"/>
          <w:szCs w:val="28"/>
        </w:rPr>
      </w:pPr>
      <w:r>
        <w:rPr>
          <w:rFonts w:hint="eastAsia" w:ascii="仿宋_GB2312" w:hAnsi="仿宋_GB2312" w:cs="仿宋_GB2312"/>
          <w:szCs w:val="28"/>
        </w:rPr>
        <w:t>依据《福清市城乡总体规划（201</w:t>
      </w:r>
      <w:r>
        <w:rPr>
          <w:rFonts w:ascii="仿宋_GB2312" w:hAnsi="仿宋_GB2312" w:cs="仿宋_GB2312"/>
          <w:szCs w:val="28"/>
        </w:rPr>
        <w:t>7</w:t>
      </w:r>
      <w:r>
        <w:rPr>
          <w:rFonts w:hint="eastAsia" w:ascii="仿宋_GB2312" w:hAnsi="仿宋_GB2312" w:cs="仿宋_GB2312"/>
          <w:szCs w:val="28"/>
        </w:rPr>
        <w:t>-203</w:t>
      </w:r>
      <w:r>
        <w:rPr>
          <w:rFonts w:ascii="仿宋_GB2312" w:hAnsi="仿宋_GB2312" w:cs="仿宋_GB2312"/>
          <w:szCs w:val="28"/>
        </w:rPr>
        <w:t>5</w:t>
      </w:r>
      <w:r>
        <w:rPr>
          <w:rFonts w:hint="eastAsia" w:ascii="仿宋_GB2312" w:hAnsi="仿宋_GB2312" w:cs="仿宋_GB2312"/>
          <w:szCs w:val="28"/>
        </w:rPr>
        <w:t>）》、《福清市国民经济和社会发展第十四个五年规划和二〇三五年远景目标纲要》、《福州元洪国际食品产业园（一、二期）控制性详细规划》、《福清市350181-20-F单元元洪投资区梁厝片区控制性详细规划》（融政土〔2022〕132号）等，编制《山下溪周边地块土地征收成片开发方案》。</w:t>
      </w:r>
    </w:p>
    <w:p>
      <w:pPr>
        <w:pStyle w:val="7"/>
        <w:numPr>
          <w:ilvl w:val="0"/>
          <w:numId w:val="0"/>
        </w:numPr>
        <w:spacing w:line="360" w:lineRule="auto"/>
        <w:ind w:left="414" w:leftChars="148" w:firstLine="137" w:firstLineChars="49"/>
        <w:jc w:val="both"/>
        <w:rPr>
          <w:rFonts w:ascii="黑体" w:hAnsi="黑体" w:eastAsia="黑体" w:cs="黑体"/>
          <w:b w:val="0"/>
          <w:bCs w:val="0"/>
          <w:sz w:val="28"/>
          <w:szCs w:val="28"/>
          <w:shd w:val="clear" w:color="auto" w:fill="FFFFFF"/>
        </w:rPr>
      </w:pPr>
      <w:r>
        <w:rPr>
          <w:rFonts w:hint="eastAsia" w:ascii="黑体" w:hAnsi="黑体" w:eastAsia="黑体" w:cs="黑体"/>
          <w:b w:val="0"/>
          <w:bCs w:val="0"/>
          <w:sz w:val="28"/>
          <w:szCs w:val="28"/>
          <w:shd w:val="clear" w:color="auto" w:fill="FFFFFF"/>
        </w:rPr>
        <w:t>二、基本情况</w:t>
      </w:r>
    </w:p>
    <w:p>
      <w:pPr>
        <w:widowControl/>
        <w:ind w:firstLine="560"/>
        <w:rPr>
          <w:rFonts w:ascii="仿宋_GB2312" w:hAnsi="仿宋_GB2312" w:cs="仿宋_GB2312"/>
          <w:szCs w:val="28"/>
        </w:rPr>
      </w:pPr>
      <w:r>
        <w:rPr>
          <w:rFonts w:hint="eastAsia" w:ascii="仿宋_GB2312" w:hAnsi="仿宋_GB2312" w:cs="仿宋_GB2312"/>
          <w:szCs w:val="28"/>
        </w:rPr>
        <w:t>山下溪周边地块规划以工业为主要功能，地处福清市城头</w:t>
      </w:r>
      <w:r>
        <w:rPr>
          <w:rFonts w:hint="eastAsia" w:ascii="仿宋_GB2312" w:hAnsi="仿宋_GB2312" w:cs="仿宋_GB2312"/>
          <w:color w:val="auto"/>
          <w:szCs w:val="28"/>
        </w:rPr>
        <w:t>镇，地块通过彭洋路连接海城路向西可直达福清中心城区，向东可达梁厝村，区域交通便捷。本次成片开发涉及</w:t>
      </w:r>
      <w:r>
        <w:rPr>
          <w:rFonts w:hint="eastAsia" w:ascii="仿宋_GB2312" w:hAnsi="仿宋_GB2312" w:cs="仿宋_GB2312"/>
          <w:color w:val="auto"/>
          <w:kern w:val="0"/>
          <w:szCs w:val="28"/>
          <w:lang w:bidi="ar"/>
        </w:rPr>
        <w:t>城头镇梁厝村、联营虾场养殖场</w:t>
      </w:r>
      <w:r>
        <w:rPr>
          <w:rFonts w:hint="eastAsia" w:ascii="仿宋_GB2312" w:hAnsi="仿宋_GB2312" w:cs="仿宋_GB2312"/>
          <w:szCs w:val="28"/>
        </w:rPr>
        <w:t>，范围内总用地面积25.3086公顷。</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三、成片开发的</w:t>
      </w:r>
      <w:bookmarkStart w:id="5" w:name="_Toc55910583"/>
      <w:r>
        <w:rPr>
          <w:rFonts w:hint="eastAsia" w:ascii="黑体" w:hAnsi="黑体" w:eastAsia="黑体" w:cs="黑体"/>
          <w:szCs w:val="28"/>
          <w:shd w:val="clear" w:color="auto" w:fill="FFFFFF"/>
        </w:rPr>
        <w:t>必要性</w:t>
      </w:r>
      <w:bookmarkEnd w:id="5"/>
    </w:p>
    <w:p>
      <w:pPr>
        <w:widowControl/>
        <w:ind w:firstLine="560"/>
        <w:rPr>
          <w:rFonts w:ascii="仿宋_GB2312" w:hAnsi="仿宋_GB2312" w:cs="仿宋_GB2312"/>
          <w:szCs w:val="28"/>
        </w:rPr>
      </w:pPr>
      <w:r>
        <w:rPr>
          <w:rFonts w:hint="eastAsia" w:ascii="仿宋_GB2312" w:hAnsi="仿宋_GB2312" w:cs="仿宋_GB2312"/>
          <w:szCs w:val="28"/>
        </w:rPr>
        <w:t>本次成片开发地块的建设将结合现状环境，立足商业贸易、产业的功能定位，打造集食品加工制造、高新技术开发为主的现代化工业园区。</w:t>
      </w:r>
      <w:r>
        <w:rPr>
          <w:rFonts w:hint="eastAsia" w:ascii="仿宋_GB2312" w:hAnsi="仿宋_GB2312" w:cs="仿宋_GB2312"/>
          <w:color w:val="000000"/>
          <w:kern w:val="0"/>
          <w:szCs w:val="28"/>
          <w:lang w:bidi="ar"/>
        </w:rPr>
        <w:t>从而逐步实现片区内产业引进建设、制造升级、城市品质提升以及公共服务配套集一体的综合功能。同时，带动产业项目入驻，吸纳高端人才，可促进区域经济发展。</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四、成片开发的规划用途及公益性用地情况</w:t>
      </w:r>
    </w:p>
    <w:p>
      <w:pPr>
        <w:ind w:firstLine="560"/>
        <w:rPr>
          <w:rFonts w:ascii="仿宋_GB2312" w:hAnsi="仿宋_GB2312" w:cs="仿宋_GB2312"/>
          <w:szCs w:val="28"/>
        </w:rPr>
      </w:pPr>
      <w:r>
        <w:rPr>
          <w:rFonts w:hint="eastAsia" w:ascii="仿宋_GB2312" w:hAnsi="仿宋_GB2312" w:cs="仿宋_GB2312"/>
          <w:szCs w:val="28"/>
        </w:rPr>
        <w:t>山下溪周边地块土地征收成片开发范围内用途包括交通运输用地、绿地与开敞空间用地和工矿用地，其中基础设施、公共服务设施等满足土地征收成片开发标准中土地征收成片开发范围内公配用地占比超过40%的规定。</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五、规划符合情况</w:t>
      </w:r>
    </w:p>
    <w:p>
      <w:pPr>
        <w:adjustRightInd w:val="0"/>
        <w:ind w:firstLine="560"/>
        <w:rPr>
          <w:rFonts w:ascii="仿宋_GB2312" w:hAnsi="仿宋_GB2312" w:cs="仿宋_GB2312"/>
          <w:color w:val="auto"/>
          <w:szCs w:val="28"/>
        </w:rPr>
      </w:pPr>
      <w:r>
        <w:rPr>
          <w:rFonts w:hint="eastAsia" w:ascii="仿宋_GB2312" w:hAnsi="仿宋_GB2312" w:cs="仿宋_GB2312"/>
          <w:szCs w:val="28"/>
        </w:rPr>
        <w:t>本次成片开发范围位于福清市城镇开发边界内的集中建设区。福清市人民政府已将该成片</w:t>
      </w:r>
      <w:r>
        <w:rPr>
          <w:rFonts w:hint="eastAsia" w:ascii="仿宋_GB2312" w:hAnsi="仿宋_GB2312" w:cs="仿宋_GB2312"/>
          <w:color w:val="auto"/>
          <w:szCs w:val="28"/>
        </w:rPr>
        <w:t>开发方案纳入正在编制的规划期至2035年的国土空间规划及“一张图”，方案并符合规划管控要求。</w:t>
      </w:r>
    </w:p>
    <w:p>
      <w:pPr>
        <w:ind w:firstLine="560"/>
        <w:rPr>
          <w:rFonts w:ascii="仿宋_GB2312" w:hAnsi="仿宋_GB2312" w:cs="仿宋_GB2312"/>
          <w:szCs w:val="28"/>
        </w:rPr>
      </w:pPr>
      <w:r>
        <w:rPr>
          <w:rFonts w:hint="eastAsia" w:ascii="仿宋_GB2312" w:hAnsi="仿宋_GB2312" w:cs="仿宋_GB2312"/>
          <w:color w:val="auto"/>
          <w:szCs w:val="28"/>
        </w:rPr>
        <w:t>项目选址未见现状地质灾害，未处于地质灾害易发区；未发现有重要工业价值的矿产资源，没有压覆现有矿山和已经</w:t>
      </w:r>
      <w:r>
        <w:rPr>
          <w:rFonts w:hint="eastAsia" w:ascii="仿宋_GB2312" w:hAnsi="仿宋_GB2312" w:cs="仿宋_GB2312"/>
          <w:szCs w:val="28"/>
        </w:rPr>
        <w:t>探明的矿产资源；不涉及永久基本农田、生态保护红线、各类自然保护区。</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 xml:space="preserve">六、实施计划 </w:t>
      </w:r>
    </w:p>
    <w:p>
      <w:pPr>
        <w:adjustRightInd w:val="0"/>
        <w:ind w:firstLine="560"/>
        <w:rPr>
          <w:szCs w:val="28"/>
        </w:rPr>
      </w:pPr>
      <w:r>
        <w:rPr>
          <w:rFonts w:hint="eastAsia" w:ascii="仿宋_GB2312" w:hAnsi="仿宋_GB2312" w:cs="仿宋_GB2312"/>
          <w:szCs w:val="28"/>
        </w:rPr>
        <w:t>本方案用地总面积25.3086公顷。开发期限及用地计划为批复后第一年至批复后第三年，3年实施完毕。</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 xml:space="preserve">六、征地农民利益保障 </w:t>
      </w:r>
    </w:p>
    <w:p>
      <w:pPr>
        <w:adjustRightInd w:val="0"/>
        <w:ind w:firstLine="560"/>
        <w:rPr>
          <w:rFonts w:ascii="仿宋_GB2312" w:hAnsi="仿宋_GB2312" w:cs="仿宋_GB2312"/>
          <w:szCs w:val="28"/>
        </w:rPr>
      </w:pPr>
      <w:r>
        <w:rPr>
          <w:rFonts w:hint="eastAsia" w:ascii="仿宋_GB2312" w:hAnsi="仿宋_GB2312" w:cs="仿宋_GB2312"/>
          <w:szCs w:val="28"/>
        </w:rPr>
        <w:t>为维护被征地农民和农村集体经济组织的合法权益，规范征地补偿程序，根据《中华人民共和国土地管理法》《福建省人民政府关于全面实行征地区片综合地价的通知》（闽政〔2017〕2号）、《福清市人民政府关于实施我市征地补偿暂行办法的通知》（融政综〔2017〕65 号）《福清市征地补偿暂行办法》（2017年）等规定开展工作。</w:t>
      </w:r>
    </w:p>
    <w:p>
      <w:pPr>
        <w:adjustRightInd w:val="0"/>
        <w:spacing w:line="360" w:lineRule="auto"/>
        <w:ind w:firstLine="560"/>
        <w:rPr>
          <w:rFonts w:ascii="黑体" w:hAnsi="黑体" w:eastAsia="黑体" w:cs="黑体"/>
          <w:szCs w:val="28"/>
          <w:shd w:val="clear" w:color="auto" w:fill="FFFFFF"/>
        </w:rPr>
      </w:pPr>
      <w:r>
        <w:rPr>
          <w:rFonts w:hint="eastAsia" w:ascii="黑体" w:hAnsi="黑体" w:eastAsia="黑体" w:cs="黑体"/>
          <w:szCs w:val="28"/>
          <w:shd w:val="clear" w:color="auto" w:fill="FFFFFF"/>
        </w:rPr>
        <w:t>七、结论</w:t>
      </w:r>
    </w:p>
    <w:bookmarkEnd w:id="0"/>
    <w:bookmarkEnd w:id="1"/>
    <w:bookmarkEnd w:id="2"/>
    <w:bookmarkEnd w:id="3"/>
    <w:bookmarkEnd w:id="4"/>
    <w:p>
      <w:pPr>
        <w:ind w:firstLine="560"/>
        <w:rPr>
          <w:rFonts w:ascii="仿宋_GB2312" w:hAnsi="仿宋_GB2312" w:cs="仿宋_GB2312"/>
          <w:szCs w:val="28"/>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仿宋_GB2312" w:hAnsi="仿宋_GB2312" w:cs="仿宋_GB2312"/>
          <w:szCs w:val="28"/>
        </w:rPr>
        <w:t>《山下溪周边地块土地征收成片开发方案》符合自然资源部土地征收成片开发的标准。</w:t>
      </w:r>
    </w:p>
    <w:p>
      <w:pPr>
        <w:pStyle w:val="2"/>
        <w:ind w:firstLine="0" w:firstLineChars="0"/>
        <w:jc w:val="left"/>
        <w:rPr>
          <w:rFonts w:hint="eastAsia" w:eastAsia="仿宋_GB2312"/>
          <w:lang w:eastAsia="zh-CN"/>
        </w:rPr>
      </w:pPr>
      <w:r>
        <w:rPr>
          <w:rFonts w:hint="eastAsia" w:eastAsia="仿宋_GB2312"/>
          <w:lang w:eastAsia="zh-CN"/>
        </w:rPr>
        <w:drawing>
          <wp:anchor distT="0" distB="0" distL="114300" distR="114300" simplePos="0" relativeHeight="251659264" behindDoc="0" locked="0" layoutInCell="1" allowOverlap="1">
            <wp:simplePos x="0" y="0"/>
            <wp:positionH relativeFrom="column">
              <wp:posOffset>601345</wp:posOffset>
            </wp:positionH>
            <wp:positionV relativeFrom="paragraph">
              <wp:posOffset>262255</wp:posOffset>
            </wp:positionV>
            <wp:extent cx="8321040" cy="5888990"/>
            <wp:effectExtent l="0" t="0" r="0" b="8890"/>
            <wp:wrapNone/>
            <wp:docPr id="1" name="图片 1" descr="87bdc7f6ba6df4c831a86afbc50d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7bdc7f6ba6df4c831a86afbc50daca"/>
                    <pic:cNvPicPr>
                      <a:picLocks noChangeAspect="1"/>
                    </pic:cNvPicPr>
                  </pic:nvPicPr>
                  <pic:blipFill>
                    <a:blip r:embed="rId8"/>
                    <a:stretch>
                      <a:fillRect/>
                    </a:stretch>
                  </pic:blipFill>
                  <pic:spPr>
                    <a:xfrm>
                      <a:off x="0" y="0"/>
                      <a:ext cx="8321040" cy="5888990"/>
                    </a:xfrm>
                    <a:prstGeom prst="rect">
                      <a:avLst/>
                    </a:prstGeom>
                  </pic:spPr>
                </pic:pic>
              </a:graphicData>
            </a:graphic>
          </wp:anchor>
        </w:drawing>
      </w:r>
      <w:r>
        <w:rPr>
          <w:rFonts w:hint="eastAsia"/>
          <w:sz w:val="28"/>
          <w:szCs w:val="28"/>
        </w:rPr>
        <w:t>附图：</w:t>
      </w:r>
    </w:p>
    <w:sectPr>
      <w:pgSz w:w="16838" w:h="11906" w:orient="landscape"/>
      <w:pgMar w:top="1100" w:right="1134" w:bottom="110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ind w:firstLine="360"/>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WPO8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kjMnLD345fu3y49fl59f2a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WPO80BAACnAwAADgAAAAAAAAABACAAAAAeAQAAZHJzL2Uy&#10;b0RvYy54bWxQSwUGAAAAAAYABgBZAQAAXQUAAAAA&#10;">
              <v:fill on="f" focussize="0,0"/>
              <v:stroke on="f"/>
              <v:imagedata o:title=""/>
              <o:lock v:ext="edit" aspectratio="f"/>
              <v:textbox inset="0mm,0mm,0mm,0mm" style="mso-fit-shape-to-text:t;">
                <w:txbxContent>
                  <w:p>
                    <w:pPr>
                      <w:pStyle w:val="3"/>
                      <w:ind w:firstLine="360"/>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Thousand"/>
      <w:pStyle w:val="7"/>
      <w:suff w:val="nothing"/>
      <w:lvlText w:val="%1、"/>
      <w:lvlJc w:val="left"/>
      <w:pPr>
        <w:ind w:left="846" w:hanging="420"/>
      </w:pPr>
      <w:rPr>
        <w:rFonts w:hint="eastAsia"/>
        <w:b/>
        <w:bCs w:val="0"/>
        <w:i w:val="0"/>
        <w:iCs w:val="0"/>
        <w:caps w:val="0"/>
        <w:smallCaps w:val="0"/>
        <w:vanish w:val="0"/>
        <w:color w:val="000000"/>
        <w:spacing w:val="0"/>
        <w:position w:val="0"/>
        <w:u w:val="none"/>
        <w:vertAlign w:val="baseline"/>
        <w:lang w:val="en-US"/>
        <w14:shadow w14:blurRad="0" w14:dist="0" w14:dir="0" w14:sx="0" w14:sy="0" w14:kx="0" w14:ky="0" w14:algn="none">
          <w14:srgbClr w14:val="000000"/>
        </w14:shadow>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xOWNjODlkYWVhYTA1YTBkOWI0OTdiNDZkNmQ2OWYifQ=="/>
    <w:docVar w:name="KSO_WPS_MARK_KEY" w:val="ca776649-6f09-4fbb-a5e8-fa6325e4fd55"/>
  </w:docVars>
  <w:rsids>
    <w:rsidRoot w:val="2EC12D00"/>
    <w:rsid w:val="00004E9F"/>
    <w:rsid w:val="00052795"/>
    <w:rsid w:val="00067924"/>
    <w:rsid w:val="00096D82"/>
    <w:rsid w:val="000B7E3D"/>
    <w:rsid w:val="0010668A"/>
    <w:rsid w:val="00154320"/>
    <w:rsid w:val="001D6B63"/>
    <w:rsid w:val="00245594"/>
    <w:rsid w:val="002478DF"/>
    <w:rsid w:val="002C43BB"/>
    <w:rsid w:val="002D2CAE"/>
    <w:rsid w:val="00324877"/>
    <w:rsid w:val="00325056"/>
    <w:rsid w:val="0032647D"/>
    <w:rsid w:val="00333115"/>
    <w:rsid w:val="003C1FFE"/>
    <w:rsid w:val="003D293E"/>
    <w:rsid w:val="003E31FD"/>
    <w:rsid w:val="004122BA"/>
    <w:rsid w:val="00426C8B"/>
    <w:rsid w:val="00434880"/>
    <w:rsid w:val="004C7047"/>
    <w:rsid w:val="004D6EAC"/>
    <w:rsid w:val="00507744"/>
    <w:rsid w:val="00512571"/>
    <w:rsid w:val="00522819"/>
    <w:rsid w:val="005608E3"/>
    <w:rsid w:val="00590120"/>
    <w:rsid w:val="005C4F82"/>
    <w:rsid w:val="005F70BB"/>
    <w:rsid w:val="006747D3"/>
    <w:rsid w:val="006E547F"/>
    <w:rsid w:val="007E4BAD"/>
    <w:rsid w:val="0085285E"/>
    <w:rsid w:val="008A5574"/>
    <w:rsid w:val="008D16B4"/>
    <w:rsid w:val="00940FC5"/>
    <w:rsid w:val="00967A96"/>
    <w:rsid w:val="00987FA6"/>
    <w:rsid w:val="009C24E6"/>
    <w:rsid w:val="00A61CAB"/>
    <w:rsid w:val="00AC62B3"/>
    <w:rsid w:val="00AD7F4D"/>
    <w:rsid w:val="00B05005"/>
    <w:rsid w:val="00B40456"/>
    <w:rsid w:val="00B454D6"/>
    <w:rsid w:val="00B5343B"/>
    <w:rsid w:val="00B81866"/>
    <w:rsid w:val="00B84BB7"/>
    <w:rsid w:val="00BB7989"/>
    <w:rsid w:val="00CA4D2D"/>
    <w:rsid w:val="00CD4784"/>
    <w:rsid w:val="00D436FE"/>
    <w:rsid w:val="00D64335"/>
    <w:rsid w:val="00D73061"/>
    <w:rsid w:val="00D74264"/>
    <w:rsid w:val="00D93084"/>
    <w:rsid w:val="00DA00B2"/>
    <w:rsid w:val="00DB0044"/>
    <w:rsid w:val="00DC5908"/>
    <w:rsid w:val="00DD64E9"/>
    <w:rsid w:val="00DE06A4"/>
    <w:rsid w:val="00EA023C"/>
    <w:rsid w:val="00F038B1"/>
    <w:rsid w:val="00FB2325"/>
    <w:rsid w:val="00FC7FBC"/>
    <w:rsid w:val="010A5FBA"/>
    <w:rsid w:val="02937615"/>
    <w:rsid w:val="03F139E0"/>
    <w:rsid w:val="051E25B2"/>
    <w:rsid w:val="06CC5A78"/>
    <w:rsid w:val="07203F31"/>
    <w:rsid w:val="0B166BF4"/>
    <w:rsid w:val="0D8A7F1A"/>
    <w:rsid w:val="0DB066B9"/>
    <w:rsid w:val="0EDF67AA"/>
    <w:rsid w:val="0EFA4090"/>
    <w:rsid w:val="0FB5770C"/>
    <w:rsid w:val="10EA76BB"/>
    <w:rsid w:val="16590D28"/>
    <w:rsid w:val="17F04282"/>
    <w:rsid w:val="1803764E"/>
    <w:rsid w:val="19B977F2"/>
    <w:rsid w:val="1B9752D1"/>
    <w:rsid w:val="1BFB4FA4"/>
    <w:rsid w:val="1E076048"/>
    <w:rsid w:val="2084395F"/>
    <w:rsid w:val="215C07B4"/>
    <w:rsid w:val="21D56297"/>
    <w:rsid w:val="22623FCE"/>
    <w:rsid w:val="246C7A1C"/>
    <w:rsid w:val="296F60AE"/>
    <w:rsid w:val="29F772DC"/>
    <w:rsid w:val="2B1A4DCF"/>
    <w:rsid w:val="2E6D5B4A"/>
    <w:rsid w:val="2EC12D00"/>
    <w:rsid w:val="30963095"/>
    <w:rsid w:val="317B29B7"/>
    <w:rsid w:val="32FE389F"/>
    <w:rsid w:val="33553D31"/>
    <w:rsid w:val="3422536C"/>
    <w:rsid w:val="34840E39"/>
    <w:rsid w:val="353E3789"/>
    <w:rsid w:val="386817BB"/>
    <w:rsid w:val="39EB6C6D"/>
    <w:rsid w:val="3A912821"/>
    <w:rsid w:val="3DF92F5C"/>
    <w:rsid w:val="3E287A22"/>
    <w:rsid w:val="3E873AB3"/>
    <w:rsid w:val="40F0234E"/>
    <w:rsid w:val="434537DC"/>
    <w:rsid w:val="43635722"/>
    <w:rsid w:val="44D06B35"/>
    <w:rsid w:val="47B942BF"/>
    <w:rsid w:val="48EB3E65"/>
    <w:rsid w:val="4AD44C17"/>
    <w:rsid w:val="4B6F79CC"/>
    <w:rsid w:val="4C982217"/>
    <w:rsid w:val="5362532D"/>
    <w:rsid w:val="53FD1E0E"/>
    <w:rsid w:val="5606575C"/>
    <w:rsid w:val="572A43B4"/>
    <w:rsid w:val="5C5D45EE"/>
    <w:rsid w:val="5D2D69AC"/>
    <w:rsid w:val="5EAD67B3"/>
    <w:rsid w:val="5EE23C31"/>
    <w:rsid w:val="5EE94B54"/>
    <w:rsid w:val="5FD06190"/>
    <w:rsid w:val="626D1570"/>
    <w:rsid w:val="63512CC8"/>
    <w:rsid w:val="66EA3218"/>
    <w:rsid w:val="6C0E42E5"/>
    <w:rsid w:val="6CEF009D"/>
    <w:rsid w:val="6E0529AC"/>
    <w:rsid w:val="6E0F7D6E"/>
    <w:rsid w:val="6E510020"/>
    <w:rsid w:val="6EA54691"/>
    <w:rsid w:val="6ECC714F"/>
    <w:rsid w:val="70291255"/>
    <w:rsid w:val="74663E96"/>
    <w:rsid w:val="7545620F"/>
    <w:rsid w:val="762F0C47"/>
    <w:rsid w:val="76307EED"/>
    <w:rsid w:val="77C47AB5"/>
    <w:rsid w:val="788A6608"/>
    <w:rsid w:val="7BD408D6"/>
    <w:rsid w:val="7C791348"/>
    <w:rsid w:val="7DCC1471"/>
    <w:rsid w:val="7E26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80" w:lineRule="exact"/>
      <w:ind w:firstLine="200" w:firstLineChars="200"/>
      <w:jc w:val="both"/>
    </w:pPr>
    <w:rPr>
      <w:rFonts w:ascii="Times New Roman" w:hAnsi="Times New Roman" w:eastAsia="仿宋_GB2312" w:cstheme="minorBidi"/>
      <w:kern w:val="2"/>
      <w:sz w:val="28"/>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pPr>
      <w:spacing w:line="240" w:lineRule="auto"/>
    </w:pPr>
    <w:rPr>
      <w:sz w:val="18"/>
      <w:szCs w:val="18"/>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customStyle="1" w:styleId="7">
    <w:name w:val="三调标题1"/>
    <w:qFormat/>
    <w:uiPriority w:val="0"/>
    <w:pPr>
      <w:numPr>
        <w:ilvl w:val="0"/>
        <w:numId w:val="1"/>
      </w:numPr>
      <w:spacing w:line="500" w:lineRule="exact"/>
      <w:outlineLvl w:val="0"/>
    </w:pPr>
    <w:rPr>
      <w:rFonts w:ascii="宋体" w:hAnsi="宋体" w:eastAsia="宋体" w:cs="楷体_GB2312"/>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1394</Words>
  <Characters>1475</Characters>
  <Lines>11</Lines>
  <Paragraphs>3</Paragraphs>
  <TotalTime>15</TotalTime>
  <ScaleCrop>false</ScaleCrop>
  <LinksUpToDate>false</LinksUpToDate>
  <CharactersWithSpaces>1596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2024-01-17T01:22:00Z</dcterms:created>
  <dc:creator>Administrator</dc:creator>
  <cp:lastModifiedBy>十年灯</cp:lastModifiedBy>
  <cp:lastPrinted>2024-02-29T08:02:00Z</cp:lastPrinted>
  <dcterms:modified xsi:type="dcterms:W3CDTF">2024-02-29T08:03:56Z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74DADEC28661421B8EFF342796370DA3_13</vt:lpwstr>
  </property>
</Properties>
</file>